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0414E" w14:textId="77777777" w:rsidR="002F70D9" w:rsidRDefault="002F70D9" w:rsidP="0028611D">
      <w:pPr>
        <w:jc w:val="both"/>
        <w:rPr>
          <w:sz w:val="24"/>
          <w:szCs w:val="24"/>
          <w:lang w:val="es-CL"/>
        </w:rPr>
      </w:pPr>
    </w:p>
    <w:p w14:paraId="78C4D366" w14:textId="3EBAD010" w:rsidR="002F70D9" w:rsidRPr="003B6C66" w:rsidRDefault="00A14B58" w:rsidP="00A14B58">
      <w:pPr>
        <w:jc w:val="right"/>
        <w:rPr>
          <w:sz w:val="24"/>
          <w:szCs w:val="24"/>
        </w:rPr>
      </w:pPr>
      <w:r w:rsidRPr="003B6C66">
        <w:rPr>
          <w:sz w:val="24"/>
          <w:szCs w:val="24"/>
        </w:rPr>
        <w:t xml:space="preserve">Revised </w:t>
      </w:r>
      <w:r w:rsidR="00983167">
        <w:rPr>
          <w:sz w:val="24"/>
          <w:szCs w:val="24"/>
        </w:rPr>
        <w:t>May</w:t>
      </w:r>
      <w:r w:rsidRPr="003B6C66">
        <w:rPr>
          <w:sz w:val="24"/>
          <w:szCs w:val="24"/>
        </w:rPr>
        <w:t xml:space="preserve"> </w:t>
      </w:r>
      <w:r w:rsidR="00983167">
        <w:rPr>
          <w:sz w:val="24"/>
          <w:szCs w:val="24"/>
        </w:rPr>
        <w:t>9</w:t>
      </w:r>
      <w:r w:rsidRPr="003B6C66">
        <w:rPr>
          <w:sz w:val="24"/>
          <w:szCs w:val="24"/>
        </w:rPr>
        <w:t>, 2022</w:t>
      </w:r>
    </w:p>
    <w:p w14:paraId="51405119" w14:textId="77777777" w:rsidR="00A14B58" w:rsidRPr="003B6C66" w:rsidRDefault="00A14B58" w:rsidP="00A14B58">
      <w:pPr>
        <w:jc w:val="right"/>
        <w:rPr>
          <w:sz w:val="24"/>
          <w:szCs w:val="24"/>
        </w:rPr>
      </w:pPr>
    </w:p>
    <w:p w14:paraId="50A6B553" w14:textId="219DF0FE" w:rsidR="002F70D9" w:rsidRPr="003B6C66" w:rsidRDefault="00A14B58" w:rsidP="002F70D9">
      <w:pPr>
        <w:jc w:val="center"/>
        <w:rPr>
          <w:b/>
          <w:bCs/>
          <w:sz w:val="28"/>
          <w:szCs w:val="28"/>
        </w:rPr>
      </w:pPr>
      <w:r w:rsidRPr="003B6C66">
        <w:rPr>
          <w:b/>
          <w:bCs/>
          <w:sz w:val="28"/>
          <w:szCs w:val="28"/>
        </w:rPr>
        <w:t xml:space="preserve">What is the </w:t>
      </w:r>
      <w:r w:rsidR="009F0D0C" w:rsidRPr="003B6C66">
        <w:rPr>
          <w:b/>
          <w:bCs/>
          <w:sz w:val="28"/>
          <w:szCs w:val="28"/>
        </w:rPr>
        <w:t>E</w:t>
      </w:r>
      <w:r w:rsidRPr="003B6C66">
        <w:rPr>
          <w:b/>
          <w:bCs/>
          <w:sz w:val="28"/>
          <w:szCs w:val="28"/>
        </w:rPr>
        <w:t xml:space="preserve">ffect of </w:t>
      </w:r>
      <w:r w:rsidR="009F0D0C" w:rsidRPr="003B6C66">
        <w:rPr>
          <w:b/>
          <w:bCs/>
          <w:sz w:val="28"/>
          <w:szCs w:val="28"/>
        </w:rPr>
        <w:t>D</w:t>
      </w:r>
      <w:r w:rsidRPr="003B6C66">
        <w:rPr>
          <w:b/>
          <w:bCs/>
          <w:sz w:val="28"/>
          <w:szCs w:val="28"/>
        </w:rPr>
        <w:t xml:space="preserve">omestic </w:t>
      </w:r>
      <w:r w:rsidR="009F0D0C" w:rsidRPr="003B6C66">
        <w:rPr>
          <w:b/>
          <w:bCs/>
          <w:sz w:val="28"/>
          <w:szCs w:val="28"/>
        </w:rPr>
        <w:t>D</w:t>
      </w:r>
      <w:r w:rsidRPr="003B6C66">
        <w:rPr>
          <w:b/>
          <w:bCs/>
          <w:sz w:val="28"/>
          <w:szCs w:val="28"/>
        </w:rPr>
        <w:t xml:space="preserve">emand </w:t>
      </w:r>
      <w:r w:rsidR="009F0D0C" w:rsidRPr="003B6C66">
        <w:rPr>
          <w:b/>
          <w:bCs/>
          <w:sz w:val="28"/>
          <w:szCs w:val="28"/>
        </w:rPr>
        <w:t>S</w:t>
      </w:r>
      <w:r w:rsidRPr="003B6C66">
        <w:rPr>
          <w:b/>
          <w:bCs/>
          <w:sz w:val="28"/>
          <w:szCs w:val="28"/>
        </w:rPr>
        <w:t xml:space="preserve">hocks on </w:t>
      </w:r>
      <w:r w:rsidR="009F0D0C" w:rsidRPr="003B6C66">
        <w:rPr>
          <w:b/>
          <w:bCs/>
          <w:sz w:val="28"/>
          <w:szCs w:val="28"/>
        </w:rPr>
        <w:t>I</w:t>
      </w:r>
      <w:r w:rsidRPr="003B6C66">
        <w:rPr>
          <w:b/>
          <w:bCs/>
          <w:sz w:val="28"/>
          <w:szCs w:val="28"/>
        </w:rPr>
        <w:t xml:space="preserve">nflation in a </w:t>
      </w:r>
      <w:r w:rsidR="009F0D0C" w:rsidRPr="003B6C66">
        <w:rPr>
          <w:b/>
          <w:bCs/>
          <w:sz w:val="28"/>
          <w:szCs w:val="28"/>
        </w:rPr>
        <w:t>S</w:t>
      </w:r>
      <w:r w:rsidRPr="003B6C66">
        <w:rPr>
          <w:b/>
          <w:bCs/>
          <w:sz w:val="28"/>
          <w:szCs w:val="28"/>
        </w:rPr>
        <w:t xml:space="preserve">mall </w:t>
      </w:r>
      <w:r w:rsidR="009F0D0C" w:rsidRPr="003B6C66">
        <w:rPr>
          <w:b/>
          <w:bCs/>
          <w:sz w:val="28"/>
          <w:szCs w:val="28"/>
        </w:rPr>
        <w:t>O</w:t>
      </w:r>
      <w:r w:rsidRPr="003B6C66">
        <w:rPr>
          <w:b/>
          <w:bCs/>
          <w:sz w:val="28"/>
          <w:szCs w:val="28"/>
        </w:rPr>
        <w:t xml:space="preserve">pen </w:t>
      </w:r>
      <w:r w:rsidR="009F0D0C" w:rsidRPr="003B6C66">
        <w:rPr>
          <w:b/>
          <w:bCs/>
          <w:sz w:val="28"/>
          <w:szCs w:val="28"/>
        </w:rPr>
        <w:t>E</w:t>
      </w:r>
      <w:r w:rsidRPr="003B6C66">
        <w:rPr>
          <w:b/>
          <w:bCs/>
          <w:sz w:val="28"/>
          <w:szCs w:val="28"/>
        </w:rPr>
        <w:t>conomy? Chile 2000-2021</w:t>
      </w:r>
    </w:p>
    <w:p w14:paraId="076DCA7D" w14:textId="77777777" w:rsidR="00A14B58" w:rsidRPr="003B6C66" w:rsidRDefault="00A14B58" w:rsidP="002F70D9">
      <w:pPr>
        <w:jc w:val="center"/>
        <w:rPr>
          <w:b/>
          <w:bCs/>
          <w:sz w:val="24"/>
          <w:szCs w:val="24"/>
        </w:rPr>
      </w:pPr>
    </w:p>
    <w:p w14:paraId="52C834D9" w14:textId="77AA5FC9" w:rsidR="002F70D9" w:rsidRPr="003B6C66" w:rsidRDefault="002F70D9" w:rsidP="002F70D9">
      <w:pPr>
        <w:jc w:val="center"/>
        <w:rPr>
          <w:b/>
          <w:bCs/>
          <w:sz w:val="24"/>
          <w:szCs w:val="24"/>
        </w:rPr>
      </w:pPr>
      <w:r w:rsidRPr="003B6C66">
        <w:rPr>
          <w:b/>
          <w:bCs/>
          <w:sz w:val="24"/>
          <w:szCs w:val="24"/>
        </w:rPr>
        <w:t>Ramón E. López</w:t>
      </w:r>
      <w:r w:rsidR="005725FD">
        <w:rPr>
          <w:rStyle w:val="Refdenotaalpie"/>
          <w:b/>
          <w:bCs/>
          <w:sz w:val="24"/>
          <w:szCs w:val="24"/>
          <w:lang w:val="es-CL"/>
        </w:rPr>
        <w:footnoteReference w:id="1"/>
      </w:r>
      <w:r w:rsidRPr="003B6C66">
        <w:rPr>
          <w:b/>
          <w:bCs/>
          <w:sz w:val="24"/>
          <w:szCs w:val="24"/>
        </w:rPr>
        <w:t xml:space="preserve"> (</w:t>
      </w:r>
      <w:r w:rsidR="00A14B58" w:rsidRPr="003B6C66">
        <w:rPr>
          <w:b/>
          <w:bCs/>
          <w:sz w:val="24"/>
          <w:szCs w:val="24"/>
        </w:rPr>
        <w:t>Full Professor</w:t>
      </w:r>
      <w:r w:rsidRPr="003B6C66">
        <w:rPr>
          <w:b/>
          <w:bCs/>
          <w:sz w:val="24"/>
          <w:szCs w:val="24"/>
        </w:rPr>
        <w:t>, FEN, U</w:t>
      </w:r>
      <w:r w:rsidR="00D515EE" w:rsidRPr="003B6C66">
        <w:rPr>
          <w:b/>
          <w:bCs/>
          <w:sz w:val="24"/>
          <w:szCs w:val="24"/>
        </w:rPr>
        <w:t>niversi</w:t>
      </w:r>
      <w:r w:rsidR="00465186" w:rsidRPr="003B6C66">
        <w:rPr>
          <w:b/>
          <w:bCs/>
          <w:sz w:val="24"/>
          <w:szCs w:val="24"/>
        </w:rPr>
        <w:t>ty</w:t>
      </w:r>
      <w:r w:rsidRPr="003B6C66">
        <w:rPr>
          <w:b/>
          <w:bCs/>
          <w:sz w:val="24"/>
          <w:szCs w:val="24"/>
        </w:rPr>
        <w:t xml:space="preserve"> </w:t>
      </w:r>
      <w:r w:rsidR="00465186" w:rsidRPr="003B6C66">
        <w:rPr>
          <w:b/>
          <w:bCs/>
          <w:sz w:val="24"/>
          <w:szCs w:val="24"/>
        </w:rPr>
        <w:t>of</w:t>
      </w:r>
      <w:r w:rsidRPr="003B6C66">
        <w:rPr>
          <w:b/>
          <w:bCs/>
          <w:sz w:val="24"/>
          <w:szCs w:val="24"/>
        </w:rPr>
        <w:t xml:space="preserve"> Chile)</w:t>
      </w:r>
    </w:p>
    <w:p w14:paraId="53BCA908" w14:textId="2A5B57B1" w:rsidR="002F70D9" w:rsidRPr="003B6C66" w:rsidRDefault="002F70D9" w:rsidP="002F70D9">
      <w:pPr>
        <w:jc w:val="center"/>
        <w:rPr>
          <w:b/>
          <w:bCs/>
          <w:sz w:val="24"/>
          <w:szCs w:val="24"/>
        </w:rPr>
      </w:pPr>
      <w:r w:rsidRPr="003B6C66">
        <w:rPr>
          <w:b/>
          <w:bCs/>
          <w:sz w:val="24"/>
          <w:szCs w:val="24"/>
        </w:rPr>
        <w:t xml:space="preserve"> </w:t>
      </w:r>
      <w:r w:rsidR="00E52113" w:rsidRPr="003B6C66">
        <w:rPr>
          <w:b/>
          <w:bCs/>
          <w:sz w:val="24"/>
          <w:szCs w:val="24"/>
        </w:rPr>
        <w:t>&amp;</w:t>
      </w:r>
      <w:r w:rsidRPr="003B6C66">
        <w:rPr>
          <w:b/>
          <w:bCs/>
          <w:sz w:val="24"/>
          <w:szCs w:val="24"/>
        </w:rPr>
        <w:t xml:space="preserve"> </w:t>
      </w:r>
    </w:p>
    <w:p w14:paraId="16F8BA45" w14:textId="11BEC15F" w:rsidR="002F70D9" w:rsidRPr="003B6C66" w:rsidRDefault="002F70D9" w:rsidP="002F70D9">
      <w:pPr>
        <w:jc w:val="center"/>
        <w:rPr>
          <w:b/>
          <w:bCs/>
          <w:sz w:val="24"/>
          <w:szCs w:val="24"/>
        </w:rPr>
      </w:pPr>
      <w:r w:rsidRPr="003B6C66">
        <w:rPr>
          <w:b/>
          <w:bCs/>
          <w:sz w:val="24"/>
          <w:szCs w:val="24"/>
        </w:rPr>
        <w:t>Kevin Sepúlveda</w:t>
      </w:r>
      <w:r w:rsidR="005725FD">
        <w:rPr>
          <w:rStyle w:val="Refdenotaalpie"/>
          <w:b/>
          <w:bCs/>
          <w:sz w:val="24"/>
          <w:szCs w:val="24"/>
          <w:lang w:val="es-CL"/>
        </w:rPr>
        <w:footnoteReference w:id="2"/>
      </w:r>
      <w:r w:rsidRPr="003B6C66">
        <w:rPr>
          <w:b/>
          <w:bCs/>
          <w:sz w:val="24"/>
          <w:szCs w:val="24"/>
        </w:rPr>
        <w:t xml:space="preserve"> (</w:t>
      </w:r>
      <w:r w:rsidR="00A14B58" w:rsidRPr="003B6C66">
        <w:rPr>
          <w:b/>
          <w:bCs/>
          <w:sz w:val="24"/>
          <w:szCs w:val="24"/>
        </w:rPr>
        <w:t>MS</w:t>
      </w:r>
      <w:r w:rsidR="0055193E" w:rsidRPr="003B6C66">
        <w:rPr>
          <w:b/>
          <w:bCs/>
          <w:sz w:val="24"/>
          <w:szCs w:val="24"/>
        </w:rPr>
        <w:t>c</w:t>
      </w:r>
      <w:r w:rsidR="00A14B58" w:rsidRPr="003B6C66">
        <w:rPr>
          <w:b/>
          <w:bCs/>
          <w:sz w:val="24"/>
          <w:szCs w:val="24"/>
        </w:rPr>
        <w:t xml:space="preserve"> in Economics</w:t>
      </w:r>
      <w:r w:rsidR="00AA0EA9" w:rsidRPr="003B6C66">
        <w:rPr>
          <w:b/>
          <w:bCs/>
          <w:sz w:val="24"/>
          <w:szCs w:val="24"/>
        </w:rPr>
        <w:t xml:space="preserve"> (c)</w:t>
      </w:r>
      <w:r w:rsidRPr="003B6C66">
        <w:rPr>
          <w:b/>
          <w:bCs/>
          <w:sz w:val="24"/>
          <w:szCs w:val="24"/>
        </w:rPr>
        <w:t>, FEN, U</w:t>
      </w:r>
      <w:r w:rsidR="00D515EE" w:rsidRPr="003B6C66">
        <w:rPr>
          <w:b/>
          <w:bCs/>
          <w:sz w:val="24"/>
          <w:szCs w:val="24"/>
        </w:rPr>
        <w:t>niver</w:t>
      </w:r>
      <w:r w:rsidR="00465186" w:rsidRPr="003B6C66">
        <w:rPr>
          <w:b/>
          <w:bCs/>
          <w:sz w:val="24"/>
          <w:szCs w:val="24"/>
        </w:rPr>
        <w:t>sity</w:t>
      </w:r>
      <w:r w:rsidRPr="003B6C66">
        <w:rPr>
          <w:b/>
          <w:bCs/>
          <w:sz w:val="24"/>
          <w:szCs w:val="24"/>
        </w:rPr>
        <w:t xml:space="preserve"> </w:t>
      </w:r>
      <w:r w:rsidR="00465186" w:rsidRPr="003B6C66">
        <w:rPr>
          <w:b/>
          <w:bCs/>
          <w:sz w:val="24"/>
          <w:szCs w:val="24"/>
        </w:rPr>
        <w:t>of</w:t>
      </w:r>
      <w:r w:rsidRPr="003B6C66">
        <w:rPr>
          <w:b/>
          <w:bCs/>
          <w:sz w:val="24"/>
          <w:szCs w:val="24"/>
        </w:rPr>
        <w:t xml:space="preserve"> Chile)</w:t>
      </w:r>
    </w:p>
    <w:p w14:paraId="5F0E9EDD" w14:textId="77777777" w:rsidR="002F70D9" w:rsidRPr="003B6C66" w:rsidRDefault="002F70D9" w:rsidP="002F70D9">
      <w:pPr>
        <w:rPr>
          <w:b/>
          <w:bCs/>
          <w:sz w:val="24"/>
          <w:szCs w:val="24"/>
        </w:rPr>
      </w:pPr>
    </w:p>
    <w:p w14:paraId="1F1BE7A0" w14:textId="4814FB81" w:rsidR="002F70D9" w:rsidRPr="00857D25" w:rsidRDefault="00D07D22" w:rsidP="00C1108D">
      <w:pPr>
        <w:jc w:val="both"/>
        <w:rPr>
          <w:sz w:val="24"/>
          <w:szCs w:val="24"/>
        </w:rPr>
      </w:pPr>
      <w:r w:rsidRPr="003B6C66">
        <w:rPr>
          <w:b/>
          <w:bCs/>
          <w:i/>
          <w:iCs/>
          <w:sz w:val="24"/>
          <w:szCs w:val="24"/>
        </w:rPr>
        <w:t>Abstract</w:t>
      </w:r>
      <w:r w:rsidR="00C1108D" w:rsidRPr="003B6C66">
        <w:rPr>
          <w:b/>
          <w:bCs/>
          <w:i/>
          <w:iCs/>
          <w:sz w:val="24"/>
          <w:szCs w:val="24"/>
        </w:rPr>
        <w:t xml:space="preserve">. </w:t>
      </w:r>
      <w:r w:rsidR="00C1108D" w:rsidRPr="003B6C66">
        <w:rPr>
          <w:i/>
          <w:iCs/>
          <w:sz w:val="24"/>
          <w:szCs w:val="24"/>
        </w:rPr>
        <w:t xml:space="preserve">This study </w:t>
      </w:r>
      <w:r w:rsidR="00D9655E" w:rsidRPr="003B6C66">
        <w:rPr>
          <w:i/>
          <w:iCs/>
          <w:sz w:val="24"/>
          <w:szCs w:val="24"/>
        </w:rPr>
        <w:t>decompose</w:t>
      </w:r>
      <w:r w:rsidR="005A4EA1">
        <w:rPr>
          <w:i/>
          <w:iCs/>
          <w:sz w:val="24"/>
          <w:szCs w:val="24"/>
        </w:rPr>
        <w:t>s</w:t>
      </w:r>
      <w:r w:rsidR="00D9655E" w:rsidRPr="003B6C66">
        <w:rPr>
          <w:i/>
          <w:iCs/>
          <w:sz w:val="24"/>
          <w:szCs w:val="24"/>
        </w:rPr>
        <w:t xml:space="preserve"> </w:t>
      </w:r>
      <w:r w:rsidR="00C1108D" w:rsidRPr="003B6C66">
        <w:rPr>
          <w:i/>
          <w:iCs/>
          <w:sz w:val="24"/>
          <w:szCs w:val="24"/>
        </w:rPr>
        <w:t>the factors that determine</w:t>
      </w:r>
      <w:r w:rsidR="005A4EA1">
        <w:rPr>
          <w:i/>
          <w:iCs/>
          <w:sz w:val="24"/>
          <w:szCs w:val="24"/>
        </w:rPr>
        <w:t>d</w:t>
      </w:r>
      <w:r w:rsidR="00C1108D" w:rsidRPr="003B6C66">
        <w:rPr>
          <w:i/>
          <w:iCs/>
          <w:sz w:val="24"/>
          <w:szCs w:val="24"/>
        </w:rPr>
        <w:t xml:space="preserve"> inflation in Chile during the period 2000-2021. We find that the main determinants of domestic inflation are variables of external origin and the exchange rate. Domestic demand has played a rather limited role as an inflationary factor. In general, in normal periods, increases in domestic demand explain no more than 20% of observed inflation. The average monthly inflation observed during the 2000-2021 period reached 0.3%</w:t>
      </w:r>
      <w:r w:rsidR="00EE4A20" w:rsidRPr="003B6C66">
        <w:rPr>
          <w:i/>
          <w:iCs/>
          <w:sz w:val="24"/>
          <w:szCs w:val="24"/>
        </w:rPr>
        <w:t>,</w:t>
      </w:r>
      <w:r w:rsidR="005A4EA1">
        <w:rPr>
          <w:i/>
          <w:iCs/>
          <w:sz w:val="24"/>
          <w:szCs w:val="24"/>
        </w:rPr>
        <w:t xml:space="preserve"> which means that domestic</w:t>
      </w:r>
      <w:r w:rsidR="00C1108D" w:rsidRPr="003B6C66">
        <w:rPr>
          <w:i/>
          <w:iCs/>
          <w:sz w:val="24"/>
          <w:szCs w:val="24"/>
        </w:rPr>
        <w:t xml:space="preserve"> demand </w:t>
      </w:r>
      <w:r w:rsidR="005A4EA1">
        <w:rPr>
          <w:i/>
          <w:iCs/>
          <w:sz w:val="24"/>
          <w:szCs w:val="24"/>
        </w:rPr>
        <w:t xml:space="preserve">increases </w:t>
      </w:r>
      <w:r w:rsidR="00C1108D" w:rsidRPr="003B6C66">
        <w:rPr>
          <w:i/>
          <w:iCs/>
          <w:sz w:val="24"/>
          <w:szCs w:val="24"/>
        </w:rPr>
        <w:t>in normal periods explain a monthly inflation of 0.06%. Surprisingly, the extraordinary periods of rapid acceleration in demand as a result of highly expansionary fiscal policies and/or</w:t>
      </w:r>
      <w:r w:rsidR="00F77893">
        <w:rPr>
          <w:i/>
          <w:iCs/>
          <w:sz w:val="24"/>
          <w:szCs w:val="24"/>
        </w:rPr>
        <w:t xml:space="preserve"> of the large</w:t>
      </w:r>
      <w:r w:rsidR="00C1108D" w:rsidRPr="003B6C66">
        <w:rPr>
          <w:i/>
          <w:iCs/>
          <w:sz w:val="24"/>
          <w:szCs w:val="24"/>
        </w:rPr>
        <w:t xml:space="preserve"> withdrawals</w:t>
      </w:r>
      <w:r w:rsidR="005A4EA1">
        <w:rPr>
          <w:i/>
          <w:iCs/>
          <w:sz w:val="24"/>
          <w:szCs w:val="24"/>
        </w:rPr>
        <w:t xml:space="preserve"> from pension </w:t>
      </w:r>
      <w:r w:rsidR="00815557">
        <w:rPr>
          <w:i/>
          <w:iCs/>
          <w:sz w:val="24"/>
          <w:szCs w:val="24"/>
        </w:rPr>
        <w:t>retir</w:t>
      </w:r>
      <w:r w:rsidR="00F77893">
        <w:rPr>
          <w:i/>
          <w:iCs/>
          <w:sz w:val="24"/>
          <w:szCs w:val="24"/>
        </w:rPr>
        <w:t>e</w:t>
      </w:r>
      <w:r w:rsidR="00815557">
        <w:rPr>
          <w:i/>
          <w:iCs/>
          <w:sz w:val="24"/>
          <w:szCs w:val="24"/>
        </w:rPr>
        <w:t xml:space="preserve">ment </w:t>
      </w:r>
      <w:r w:rsidR="005A4EA1">
        <w:rPr>
          <w:i/>
          <w:iCs/>
          <w:sz w:val="24"/>
          <w:szCs w:val="24"/>
        </w:rPr>
        <w:t xml:space="preserve">savings </w:t>
      </w:r>
      <w:r w:rsidR="00C1108D" w:rsidRPr="003B6C66">
        <w:rPr>
          <w:i/>
          <w:iCs/>
          <w:sz w:val="24"/>
          <w:szCs w:val="24"/>
        </w:rPr>
        <w:t xml:space="preserve"> had a rather modest effect on the acceleration of inflation. Only in the last 5 months of 2021 we</w:t>
      </w:r>
      <w:r w:rsidR="00EC45CE" w:rsidRPr="003B6C66">
        <w:rPr>
          <w:i/>
          <w:iCs/>
          <w:sz w:val="24"/>
          <w:szCs w:val="24"/>
        </w:rPr>
        <w:t xml:space="preserve"> can</w:t>
      </w:r>
      <w:r w:rsidR="00C1108D" w:rsidRPr="003B6C66">
        <w:rPr>
          <w:i/>
          <w:iCs/>
          <w:sz w:val="24"/>
          <w:szCs w:val="24"/>
        </w:rPr>
        <w:t xml:space="preserve"> </w:t>
      </w:r>
      <w:r w:rsidR="00C1108D" w:rsidRPr="00857D25">
        <w:rPr>
          <w:i/>
          <w:iCs/>
          <w:sz w:val="24"/>
          <w:szCs w:val="24"/>
        </w:rPr>
        <w:t>detect</w:t>
      </w:r>
      <w:r w:rsidR="00C1108D" w:rsidRPr="003B6C66">
        <w:rPr>
          <w:i/>
          <w:iCs/>
          <w:sz w:val="24"/>
          <w:szCs w:val="24"/>
        </w:rPr>
        <w:t xml:space="preserve"> </w:t>
      </w:r>
      <w:r w:rsidR="007847FF" w:rsidRPr="003B6C66">
        <w:rPr>
          <w:i/>
          <w:iCs/>
          <w:sz w:val="24"/>
          <w:szCs w:val="24"/>
        </w:rPr>
        <w:t xml:space="preserve">some </w:t>
      </w:r>
      <w:r w:rsidR="00C1108D" w:rsidRPr="003B6C66">
        <w:rPr>
          <w:i/>
          <w:iCs/>
          <w:sz w:val="24"/>
          <w:szCs w:val="24"/>
        </w:rPr>
        <w:t xml:space="preserve">effects of the expansion in </w:t>
      </w:r>
      <w:r w:rsidR="00F77893">
        <w:rPr>
          <w:i/>
          <w:iCs/>
          <w:sz w:val="24"/>
          <w:szCs w:val="24"/>
        </w:rPr>
        <w:t xml:space="preserve">domestic </w:t>
      </w:r>
      <w:r w:rsidR="00C1108D" w:rsidRPr="003B6C66">
        <w:rPr>
          <w:i/>
          <w:iCs/>
          <w:sz w:val="24"/>
          <w:szCs w:val="24"/>
        </w:rPr>
        <w:t>demand on inflation. This study corroborates an expected fact in a small and open economy like Chile's</w:t>
      </w:r>
      <w:r w:rsidR="003B6C66">
        <w:rPr>
          <w:i/>
          <w:iCs/>
          <w:sz w:val="24"/>
          <w:szCs w:val="24"/>
        </w:rPr>
        <w:t>:</w:t>
      </w:r>
      <w:r w:rsidR="00C1108D" w:rsidRPr="003B6C66">
        <w:rPr>
          <w:i/>
          <w:iCs/>
          <w:sz w:val="24"/>
          <w:szCs w:val="24"/>
        </w:rPr>
        <w:t xml:space="preserve"> most domestic </w:t>
      </w:r>
      <w:r w:rsidR="00AD56C4">
        <w:rPr>
          <w:i/>
          <w:iCs/>
          <w:sz w:val="24"/>
          <w:szCs w:val="24"/>
        </w:rPr>
        <w:t xml:space="preserve">price changes are </w:t>
      </w:r>
      <w:r w:rsidR="00C1108D" w:rsidRPr="003B6C66">
        <w:rPr>
          <w:i/>
          <w:iCs/>
          <w:sz w:val="24"/>
          <w:szCs w:val="24"/>
        </w:rPr>
        <w:t xml:space="preserve">determined by foreign </w:t>
      </w:r>
      <w:r w:rsidR="00AD56C4">
        <w:rPr>
          <w:i/>
          <w:iCs/>
          <w:sz w:val="24"/>
          <w:szCs w:val="24"/>
        </w:rPr>
        <w:t>price changes</w:t>
      </w:r>
      <w:r w:rsidR="00C1108D" w:rsidRPr="003B6C66">
        <w:rPr>
          <w:i/>
          <w:iCs/>
          <w:sz w:val="24"/>
          <w:szCs w:val="24"/>
        </w:rPr>
        <w:t>.</w:t>
      </w:r>
    </w:p>
    <w:p w14:paraId="0FBA5882" w14:textId="77777777" w:rsidR="002F70D9" w:rsidRPr="003B6C66" w:rsidRDefault="002F70D9" w:rsidP="0028611D">
      <w:pPr>
        <w:jc w:val="both"/>
        <w:rPr>
          <w:sz w:val="24"/>
          <w:szCs w:val="24"/>
        </w:rPr>
      </w:pPr>
    </w:p>
    <w:p w14:paraId="53B6B93F" w14:textId="77777777" w:rsidR="002F70D9" w:rsidRPr="003B6C66" w:rsidRDefault="002F70D9" w:rsidP="0028611D">
      <w:pPr>
        <w:jc w:val="both"/>
        <w:rPr>
          <w:sz w:val="24"/>
          <w:szCs w:val="24"/>
        </w:rPr>
      </w:pPr>
    </w:p>
    <w:p w14:paraId="6C85AEFE" w14:textId="77777777" w:rsidR="002F70D9" w:rsidRPr="003B6C66" w:rsidRDefault="002F70D9" w:rsidP="0028611D">
      <w:pPr>
        <w:jc w:val="both"/>
        <w:rPr>
          <w:sz w:val="24"/>
          <w:szCs w:val="24"/>
        </w:rPr>
      </w:pPr>
    </w:p>
    <w:p w14:paraId="576A9095" w14:textId="77777777" w:rsidR="001D2DA2" w:rsidRPr="003B6C66" w:rsidRDefault="001D2DA2" w:rsidP="002F70D9">
      <w:pPr>
        <w:jc w:val="center"/>
        <w:rPr>
          <w:b/>
          <w:bCs/>
          <w:sz w:val="28"/>
          <w:szCs w:val="28"/>
        </w:rPr>
      </w:pPr>
    </w:p>
    <w:p w14:paraId="70405224" w14:textId="381A1242" w:rsidR="001D2DA2" w:rsidRPr="00D9655E" w:rsidRDefault="001D2DA2" w:rsidP="002F70D9">
      <w:pPr>
        <w:jc w:val="center"/>
        <w:rPr>
          <w:b/>
          <w:bCs/>
          <w:sz w:val="28"/>
          <w:szCs w:val="28"/>
        </w:rPr>
      </w:pPr>
    </w:p>
    <w:p w14:paraId="5B3B4A36" w14:textId="0C9AEA76" w:rsidR="00C1108D" w:rsidRPr="003B6C66" w:rsidRDefault="00C1108D" w:rsidP="002F70D9">
      <w:pPr>
        <w:jc w:val="center"/>
        <w:rPr>
          <w:b/>
          <w:bCs/>
          <w:sz w:val="28"/>
          <w:szCs w:val="28"/>
        </w:rPr>
      </w:pPr>
    </w:p>
    <w:p w14:paraId="0D3FE39E" w14:textId="670BCE5B" w:rsidR="00E52113" w:rsidRPr="003B6C66" w:rsidRDefault="00E52113" w:rsidP="00E52113">
      <w:pPr>
        <w:jc w:val="center"/>
        <w:rPr>
          <w:b/>
          <w:bCs/>
          <w:sz w:val="28"/>
          <w:szCs w:val="28"/>
        </w:rPr>
      </w:pPr>
      <w:r w:rsidRPr="003B6C66">
        <w:rPr>
          <w:b/>
          <w:bCs/>
          <w:sz w:val="28"/>
          <w:szCs w:val="28"/>
        </w:rPr>
        <w:lastRenderedPageBreak/>
        <w:t>What is the Effect of Domestic Demand Shocks on Inflation in a Small Open Economy? Chile 2000-2021</w:t>
      </w:r>
    </w:p>
    <w:p w14:paraId="5659FB30" w14:textId="5259C67F" w:rsidR="00120261" w:rsidRPr="003B6C66" w:rsidRDefault="00BB58EC" w:rsidP="0028611D">
      <w:pPr>
        <w:jc w:val="both"/>
        <w:rPr>
          <w:sz w:val="24"/>
          <w:szCs w:val="24"/>
        </w:rPr>
      </w:pPr>
      <w:r w:rsidRPr="003B6C66">
        <w:rPr>
          <w:sz w:val="24"/>
          <w:szCs w:val="24"/>
        </w:rPr>
        <w:t>This paper studies the determinants of inflation in Chile during the first two decades of the 21st century. Its main motivation is to assess the importance of fluctuations in domestic demand on domestic inflation. This is an important issue considering that Keynesian policies in a context of recession, low levels of utilization of productive capacity and high unemployment</w:t>
      </w:r>
      <w:r w:rsidR="005745CB">
        <w:rPr>
          <w:sz w:val="24"/>
          <w:szCs w:val="24"/>
        </w:rPr>
        <w:t>,</w:t>
      </w:r>
      <w:r w:rsidRPr="003B6C66">
        <w:rPr>
          <w:sz w:val="24"/>
          <w:szCs w:val="24"/>
        </w:rPr>
        <w:t xml:space="preserve"> </w:t>
      </w:r>
      <w:r w:rsidR="005745CB">
        <w:rPr>
          <w:sz w:val="24"/>
          <w:szCs w:val="24"/>
        </w:rPr>
        <w:t>promotes</w:t>
      </w:r>
      <w:r w:rsidRPr="003B6C66">
        <w:rPr>
          <w:sz w:val="24"/>
          <w:szCs w:val="24"/>
        </w:rPr>
        <w:t xml:space="preserve"> increases in domestic spending through higher public spending, higher social subsidies and </w:t>
      </w:r>
      <w:r w:rsidR="005745CB">
        <w:rPr>
          <w:sz w:val="24"/>
          <w:szCs w:val="24"/>
        </w:rPr>
        <w:t xml:space="preserve">related </w:t>
      </w:r>
      <w:r w:rsidRPr="003B6C66">
        <w:rPr>
          <w:sz w:val="24"/>
          <w:szCs w:val="24"/>
        </w:rPr>
        <w:t>measures such as the reduction of compulsory savings imposed on workers through the AFP system.</w:t>
      </w:r>
      <w:r w:rsidR="0013434E">
        <w:rPr>
          <w:rStyle w:val="Refdenotaalpie"/>
          <w:sz w:val="24"/>
          <w:szCs w:val="24"/>
          <w:lang w:val="es-CL"/>
        </w:rPr>
        <w:footnoteReference w:id="3"/>
      </w:r>
      <w:r w:rsidRPr="003B6C66">
        <w:rPr>
          <w:sz w:val="24"/>
          <w:szCs w:val="24"/>
        </w:rPr>
        <w:t xml:space="preserve"> Precisely these policies were implemented </w:t>
      </w:r>
      <w:r w:rsidR="00764749">
        <w:rPr>
          <w:sz w:val="24"/>
          <w:szCs w:val="24"/>
        </w:rPr>
        <w:t xml:space="preserve">in Chile </w:t>
      </w:r>
      <w:r w:rsidRPr="003B6C66">
        <w:rPr>
          <w:sz w:val="24"/>
          <w:szCs w:val="24"/>
        </w:rPr>
        <w:t xml:space="preserve">in a very aggressive way during the COVID-19 crisis </w:t>
      </w:r>
      <w:r w:rsidR="00764749">
        <w:rPr>
          <w:sz w:val="24"/>
          <w:szCs w:val="24"/>
        </w:rPr>
        <w:t>over the</w:t>
      </w:r>
      <w:r w:rsidRPr="003B6C66">
        <w:rPr>
          <w:sz w:val="24"/>
          <w:szCs w:val="24"/>
        </w:rPr>
        <w:t xml:space="preserve"> 2020</w:t>
      </w:r>
      <w:r w:rsidR="00764749">
        <w:rPr>
          <w:sz w:val="24"/>
          <w:szCs w:val="24"/>
        </w:rPr>
        <w:t>-</w:t>
      </w:r>
      <w:r w:rsidRPr="003B6C66">
        <w:rPr>
          <w:sz w:val="24"/>
          <w:szCs w:val="24"/>
        </w:rPr>
        <w:t>21</w:t>
      </w:r>
      <w:r w:rsidR="00F42965">
        <w:rPr>
          <w:sz w:val="24"/>
          <w:szCs w:val="24"/>
        </w:rPr>
        <w:t xml:space="preserve"> period</w:t>
      </w:r>
      <w:r w:rsidRPr="003B6C66">
        <w:rPr>
          <w:sz w:val="24"/>
          <w:szCs w:val="24"/>
        </w:rPr>
        <w:t>.</w:t>
      </w:r>
    </w:p>
    <w:p w14:paraId="723E66CD" w14:textId="3CDD5FD7" w:rsidR="00D22603" w:rsidRPr="003B6C66" w:rsidRDefault="00D22603" w:rsidP="0028611D">
      <w:pPr>
        <w:jc w:val="both"/>
        <w:rPr>
          <w:sz w:val="24"/>
          <w:szCs w:val="24"/>
        </w:rPr>
      </w:pPr>
      <w:r w:rsidRPr="003B6C66">
        <w:rPr>
          <w:sz w:val="24"/>
          <w:szCs w:val="24"/>
        </w:rPr>
        <w:t xml:space="preserve">A key </w:t>
      </w:r>
      <w:r w:rsidR="00F111D4" w:rsidRPr="003B6C66">
        <w:rPr>
          <w:sz w:val="24"/>
          <w:szCs w:val="24"/>
        </w:rPr>
        <w:t>issue</w:t>
      </w:r>
      <w:r w:rsidRPr="003B6C66">
        <w:rPr>
          <w:sz w:val="24"/>
          <w:szCs w:val="24"/>
        </w:rPr>
        <w:t xml:space="preserve"> is the evaluation of the impacts of these Keynesian policies. Determining the inflationary effect of these policies is of vital importance for future design of demand policies. The idea of ​​Keynesianism is that, under conditions of underutilization of productive capacity and unemployment, increases in demand translate into more use of productive capacities and eventually into their expansion, and not necessarily into higher inflation. If the expansion of demand fundamentally generates higher inflation, we </w:t>
      </w:r>
      <w:r w:rsidR="00F42965">
        <w:rPr>
          <w:sz w:val="24"/>
          <w:szCs w:val="24"/>
        </w:rPr>
        <w:t>could</w:t>
      </w:r>
      <w:r w:rsidRPr="003B6C66">
        <w:rPr>
          <w:sz w:val="24"/>
          <w:szCs w:val="24"/>
        </w:rPr>
        <w:t xml:space="preserve"> conclude that demand policies are of limited value. This is what motivates this research: In the years 2020 and 2021 we have experienced a </w:t>
      </w:r>
      <w:r w:rsidR="00F42965">
        <w:rPr>
          <w:sz w:val="24"/>
          <w:szCs w:val="24"/>
        </w:rPr>
        <w:t>natural</w:t>
      </w:r>
      <w:r w:rsidRPr="003B6C66">
        <w:rPr>
          <w:sz w:val="24"/>
          <w:szCs w:val="24"/>
        </w:rPr>
        <w:t xml:space="preserve"> experiment of </w:t>
      </w:r>
      <w:r w:rsidR="00F42965">
        <w:rPr>
          <w:sz w:val="24"/>
          <w:szCs w:val="24"/>
        </w:rPr>
        <w:t xml:space="preserve">important </w:t>
      </w:r>
      <w:r w:rsidR="00E61654" w:rsidRPr="003B6C66">
        <w:rPr>
          <w:sz w:val="24"/>
          <w:szCs w:val="24"/>
        </w:rPr>
        <w:t>policies</w:t>
      </w:r>
      <w:r w:rsidRPr="003B6C66">
        <w:rPr>
          <w:sz w:val="24"/>
          <w:szCs w:val="24"/>
        </w:rPr>
        <w:t xml:space="preserve"> to expand demand </w:t>
      </w:r>
      <w:r w:rsidR="00F42965">
        <w:rPr>
          <w:sz w:val="24"/>
          <w:szCs w:val="24"/>
        </w:rPr>
        <w:t>at rates</w:t>
      </w:r>
      <w:r w:rsidRPr="003B6C66">
        <w:rPr>
          <w:sz w:val="24"/>
          <w:szCs w:val="24"/>
        </w:rPr>
        <w:t xml:space="preserve"> rarely seen in the recent history of Chile. The idea is to take advantage of this gigantic experiment to evaluate the relevance of demand policies for an economy like Chile's in crisis conditions.</w:t>
      </w:r>
    </w:p>
    <w:p w14:paraId="1C828563" w14:textId="3C29C14D" w:rsidR="008C5644" w:rsidRPr="003B6C66" w:rsidRDefault="00D6628C" w:rsidP="0028611D">
      <w:pPr>
        <w:jc w:val="both"/>
        <w:rPr>
          <w:sz w:val="24"/>
          <w:szCs w:val="24"/>
        </w:rPr>
      </w:pPr>
      <w:r w:rsidRPr="003B6C66">
        <w:rPr>
          <w:sz w:val="24"/>
          <w:szCs w:val="24"/>
        </w:rPr>
        <w:t>Chile is a small and extremely open economy, both to trade and capital flows</w:t>
      </w:r>
      <w:r w:rsidR="00996F38">
        <w:rPr>
          <w:sz w:val="24"/>
          <w:szCs w:val="24"/>
        </w:rPr>
        <w:t>. This</w:t>
      </w:r>
      <w:r w:rsidRPr="003B6C66">
        <w:rPr>
          <w:sz w:val="24"/>
          <w:szCs w:val="24"/>
        </w:rPr>
        <w:t>, in principle, would suggest that if the Purchasing Power Parity (PPP) hypothesis holds even in its weakest versions, such as, for example, relative parity, or even if a quasi PPP condition prevails (Hegwood and Papell, 1998), the inflationary effect of demand policies, such as those implemented in 2020 and 2021, would be limited</w:t>
      </w:r>
      <w:r w:rsidR="008C5644" w:rsidRPr="003B6C66">
        <w:rPr>
          <w:sz w:val="24"/>
          <w:szCs w:val="24"/>
        </w:rPr>
        <w:t>.</w:t>
      </w:r>
      <w:r w:rsidR="008C5644">
        <w:rPr>
          <w:rStyle w:val="Refdenotaalpie"/>
          <w:sz w:val="24"/>
          <w:szCs w:val="24"/>
          <w:lang w:val="es-CL"/>
        </w:rPr>
        <w:footnoteReference w:id="4"/>
      </w:r>
      <w:r w:rsidR="008C5644" w:rsidRPr="003B6C66">
        <w:rPr>
          <w:sz w:val="24"/>
          <w:szCs w:val="24"/>
        </w:rPr>
        <w:t xml:space="preserve"> </w:t>
      </w:r>
      <w:r w:rsidRPr="003B6C66">
        <w:rPr>
          <w:sz w:val="24"/>
          <w:szCs w:val="24"/>
        </w:rPr>
        <w:t>This in turn would imply that domestic demand stimuli would be effective in promoting production and employment and possibly investment</w:t>
      </w:r>
      <w:r w:rsidR="005D46F1">
        <w:rPr>
          <w:sz w:val="24"/>
          <w:szCs w:val="24"/>
        </w:rPr>
        <w:t>, with a small inflationary effect.</w:t>
      </w:r>
      <w:r w:rsidRPr="003B6C66">
        <w:rPr>
          <w:sz w:val="24"/>
          <w:szCs w:val="24"/>
        </w:rPr>
        <w:t xml:space="preserve"> In other words, well-implemented demand policies in a country affected by a chronic lack of demand caused mainly by a high concentration of income and low wages, could trigger a spiral of growth and development </w:t>
      </w:r>
      <w:r w:rsidR="00996F38">
        <w:rPr>
          <w:sz w:val="24"/>
          <w:szCs w:val="24"/>
        </w:rPr>
        <w:t>over the medium term</w:t>
      </w:r>
      <w:r w:rsidRPr="003B6C66">
        <w:rPr>
          <w:sz w:val="24"/>
          <w:szCs w:val="24"/>
        </w:rPr>
        <w:t>.</w:t>
      </w:r>
    </w:p>
    <w:p w14:paraId="62465329" w14:textId="7CC277D1" w:rsidR="004D63E2" w:rsidRPr="003B6C66" w:rsidRDefault="00172387" w:rsidP="0028611D">
      <w:pPr>
        <w:jc w:val="both"/>
        <w:rPr>
          <w:sz w:val="24"/>
          <w:szCs w:val="24"/>
        </w:rPr>
      </w:pPr>
      <w:r w:rsidRPr="003B6C66">
        <w:rPr>
          <w:sz w:val="24"/>
          <w:szCs w:val="24"/>
        </w:rPr>
        <w:t>The evidence regarding the empirical validity of the PP</w:t>
      </w:r>
      <w:r w:rsidR="00CD447C" w:rsidRPr="003B6C66">
        <w:rPr>
          <w:sz w:val="24"/>
          <w:szCs w:val="24"/>
        </w:rPr>
        <w:t>P</w:t>
      </w:r>
      <w:r w:rsidRPr="003B6C66">
        <w:rPr>
          <w:sz w:val="24"/>
          <w:szCs w:val="24"/>
        </w:rPr>
        <w:t xml:space="preserve"> in any of its versions is mixed. Taylor (2002) has argued that in periods when exchange rate regimes remain stable, the quasi PPP reflects domestic prices in small open economies quite well.</w:t>
      </w:r>
      <w:r w:rsidR="005D46F1">
        <w:rPr>
          <w:sz w:val="24"/>
          <w:szCs w:val="24"/>
        </w:rPr>
        <w:t xml:space="preserve"> </w:t>
      </w:r>
      <w:r w:rsidR="004D63E2" w:rsidRPr="003B6C66">
        <w:rPr>
          <w:sz w:val="24"/>
          <w:szCs w:val="24"/>
        </w:rPr>
        <w:t xml:space="preserve">The evidence from empirical studies on the applicability of PPP in any of its forms is varied. In general, they find evidence </w:t>
      </w:r>
      <w:r w:rsidR="00147D55">
        <w:rPr>
          <w:sz w:val="24"/>
          <w:szCs w:val="24"/>
        </w:rPr>
        <w:t>for</w:t>
      </w:r>
      <w:r w:rsidR="004D63E2" w:rsidRPr="003B6C66">
        <w:rPr>
          <w:sz w:val="24"/>
          <w:szCs w:val="24"/>
        </w:rPr>
        <w:t xml:space="preserve"> at least the weak version of the PP</w:t>
      </w:r>
      <w:r w:rsidR="00690730" w:rsidRPr="003B6C66">
        <w:rPr>
          <w:sz w:val="24"/>
          <w:szCs w:val="24"/>
        </w:rPr>
        <w:t>P</w:t>
      </w:r>
      <w:r w:rsidR="005D46F1">
        <w:rPr>
          <w:sz w:val="24"/>
          <w:szCs w:val="24"/>
        </w:rPr>
        <w:t>.</w:t>
      </w:r>
      <w:r w:rsidR="004D63E2" w:rsidRPr="003B6C66">
        <w:rPr>
          <w:sz w:val="24"/>
          <w:szCs w:val="24"/>
        </w:rPr>
        <w:t xml:space="preserve"> For example, Crowover et al. (1996) and Hongjun Li et al. (2015) </w:t>
      </w:r>
      <w:r w:rsidR="004D63E2" w:rsidRPr="003B6C66">
        <w:rPr>
          <w:sz w:val="24"/>
          <w:szCs w:val="24"/>
        </w:rPr>
        <w:lastRenderedPageBreak/>
        <w:t xml:space="preserve">found that even the absolute PPP hypothesis holds, while Carlsson et al. </w:t>
      </w:r>
      <w:r w:rsidR="004D63E2" w:rsidRPr="00983167">
        <w:rPr>
          <w:sz w:val="24"/>
          <w:szCs w:val="24"/>
        </w:rPr>
        <w:t>(2008) concluded that weaker versions of the PP</w:t>
      </w:r>
      <w:r w:rsidR="000774C1" w:rsidRPr="00983167">
        <w:rPr>
          <w:sz w:val="24"/>
          <w:szCs w:val="24"/>
        </w:rPr>
        <w:t>P</w:t>
      </w:r>
      <w:r w:rsidR="004D63E2" w:rsidRPr="00983167">
        <w:rPr>
          <w:sz w:val="24"/>
          <w:szCs w:val="24"/>
        </w:rPr>
        <w:t xml:space="preserve"> are relevant. </w:t>
      </w:r>
      <w:r w:rsidR="004D63E2" w:rsidRPr="003B6C66">
        <w:rPr>
          <w:sz w:val="24"/>
          <w:szCs w:val="24"/>
        </w:rPr>
        <w:t>Kasuya and Ueda (2000) also find evidence in favor of PP</w:t>
      </w:r>
      <w:r w:rsidR="000774C1" w:rsidRPr="003B6C66">
        <w:rPr>
          <w:sz w:val="24"/>
          <w:szCs w:val="24"/>
        </w:rPr>
        <w:t>P</w:t>
      </w:r>
      <w:r w:rsidR="004D63E2" w:rsidRPr="003B6C66">
        <w:rPr>
          <w:sz w:val="24"/>
          <w:szCs w:val="24"/>
        </w:rPr>
        <w:t xml:space="preserve">. An exception is a study by Céspedes and Gregorio (1999) applied to Chile that finds no evidence of the </w:t>
      </w:r>
      <w:r w:rsidR="00852AB0" w:rsidRPr="003B6C66">
        <w:rPr>
          <w:sz w:val="24"/>
          <w:szCs w:val="24"/>
        </w:rPr>
        <w:t>PP</w:t>
      </w:r>
      <w:r w:rsidR="004D63E2" w:rsidRPr="003B6C66">
        <w:rPr>
          <w:sz w:val="24"/>
          <w:szCs w:val="24"/>
        </w:rPr>
        <w:t xml:space="preserve">P for the period 1977-1997. However, as Taylor (2002) </w:t>
      </w:r>
      <w:r w:rsidR="008069D2" w:rsidRPr="003B6C66">
        <w:rPr>
          <w:sz w:val="24"/>
          <w:szCs w:val="24"/>
        </w:rPr>
        <w:t>points out</w:t>
      </w:r>
      <w:r w:rsidR="004D63E2" w:rsidRPr="003B6C66">
        <w:rPr>
          <w:sz w:val="24"/>
          <w:szCs w:val="24"/>
        </w:rPr>
        <w:t>, this is to be expected given the repeated changes in the exchange rate regimes that occurred in Chile during the period considered by this study.</w:t>
      </w:r>
      <w:r w:rsidR="00AA250E" w:rsidRPr="003B6C66">
        <w:rPr>
          <w:sz w:val="24"/>
          <w:szCs w:val="24"/>
        </w:rPr>
        <w:t xml:space="preserve"> Further, </w:t>
      </w:r>
      <w:r w:rsidR="004D63E2" w:rsidRPr="003B6C66">
        <w:rPr>
          <w:sz w:val="24"/>
          <w:szCs w:val="24"/>
        </w:rPr>
        <w:t>Korap and Aslan (2010) show that the PPP can be confirmed as a steady state relationship for Turkey. Taylor and McMahon (1988) generally find evidence confirming PPP as a</w:t>
      </w:r>
      <w:r w:rsidR="007342B1">
        <w:rPr>
          <w:sz w:val="24"/>
          <w:szCs w:val="24"/>
        </w:rPr>
        <w:t>n</w:t>
      </w:r>
      <w:r w:rsidR="004D63E2" w:rsidRPr="003B6C66">
        <w:rPr>
          <w:sz w:val="24"/>
          <w:szCs w:val="24"/>
        </w:rPr>
        <w:t xml:space="preserve"> equilibrium condition where the exchange rate tends to converge </w:t>
      </w:r>
      <w:r w:rsidR="007342B1">
        <w:rPr>
          <w:sz w:val="24"/>
          <w:szCs w:val="24"/>
        </w:rPr>
        <w:t>to a stable equilibrium value</w:t>
      </w:r>
      <w:r w:rsidR="004D63E2" w:rsidRPr="003B6C66">
        <w:rPr>
          <w:sz w:val="24"/>
          <w:szCs w:val="24"/>
        </w:rPr>
        <w:t xml:space="preserve">. </w:t>
      </w:r>
    </w:p>
    <w:p w14:paraId="386FD37B" w14:textId="141C7C69" w:rsidR="00B375D5" w:rsidRPr="003B6C66" w:rsidRDefault="00171C84" w:rsidP="0028611D">
      <w:pPr>
        <w:jc w:val="both"/>
        <w:rPr>
          <w:sz w:val="24"/>
          <w:szCs w:val="24"/>
        </w:rPr>
      </w:pPr>
      <w:r w:rsidRPr="003B6C66">
        <w:rPr>
          <w:sz w:val="24"/>
          <w:szCs w:val="24"/>
        </w:rPr>
        <w:t>In this paper we adopt an eclectic position</w:t>
      </w:r>
      <w:r w:rsidR="00BF2D87">
        <w:rPr>
          <w:sz w:val="24"/>
          <w:szCs w:val="24"/>
        </w:rPr>
        <w:t xml:space="preserve"> allowing for the possibility that domestic demand factors may affect inflation in confluence with external inflation</w:t>
      </w:r>
      <w:r w:rsidRPr="003B6C66">
        <w:rPr>
          <w:sz w:val="24"/>
          <w:szCs w:val="24"/>
        </w:rPr>
        <w:t>. It is specified that the determinants of the variation in domestic inflation are inflationary variations abroad, variations in the nominal exchange rate and internal demand factors.</w:t>
      </w:r>
      <w:r w:rsidR="007342B1">
        <w:rPr>
          <w:sz w:val="24"/>
          <w:szCs w:val="24"/>
        </w:rPr>
        <w:t xml:space="preserve"> Since the exchange rate is likely to be affected by demand factors we allow for a simultanous determination of inflati</w:t>
      </w:r>
      <w:r w:rsidR="0005798C">
        <w:rPr>
          <w:sz w:val="24"/>
          <w:szCs w:val="24"/>
        </w:rPr>
        <w:t>o</w:t>
      </w:r>
      <w:r w:rsidR="007342B1">
        <w:rPr>
          <w:sz w:val="24"/>
          <w:szCs w:val="24"/>
        </w:rPr>
        <w:t>n and exchange rate.</w:t>
      </w:r>
    </w:p>
    <w:p w14:paraId="0D0AC3CF" w14:textId="7F50E0C4" w:rsidR="004B14DD" w:rsidRPr="00FE72E6" w:rsidRDefault="00C001FA" w:rsidP="00FE72E6">
      <w:pPr>
        <w:pStyle w:val="Prrafodelista"/>
        <w:numPr>
          <w:ilvl w:val="0"/>
          <w:numId w:val="7"/>
        </w:numPr>
        <w:jc w:val="both"/>
        <w:rPr>
          <w:b/>
          <w:bCs/>
          <w:i/>
          <w:iCs/>
          <w:sz w:val="24"/>
          <w:szCs w:val="24"/>
          <w:lang w:val="es-CL"/>
        </w:rPr>
      </w:pPr>
      <w:r>
        <w:rPr>
          <w:b/>
          <w:bCs/>
          <w:i/>
          <w:iCs/>
          <w:sz w:val="24"/>
          <w:szCs w:val="24"/>
          <w:lang w:val="es-CL"/>
        </w:rPr>
        <w:t>The</w:t>
      </w:r>
      <w:r w:rsidR="004B14DD" w:rsidRPr="00FE72E6">
        <w:rPr>
          <w:b/>
          <w:bCs/>
          <w:i/>
          <w:iCs/>
          <w:sz w:val="24"/>
          <w:szCs w:val="24"/>
          <w:lang w:val="es-CL"/>
        </w:rPr>
        <w:t xml:space="preserve"> </w:t>
      </w:r>
      <w:r>
        <w:rPr>
          <w:b/>
          <w:bCs/>
          <w:i/>
          <w:iCs/>
          <w:sz w:val="24"/>
          <w:szCs w:val="24"/>
          <w:lang w:val="es-CL"/>
        </w:rPr>
        <w:t>M</w:t>
      </w:r>
      <w:r w:rsidR="004B14DD" w:rsidRPr="00FE72E6">
        <w:rPr>
          <w:b/>
          <w:bCs/>
          <w:i/>
          <w:iCs/>
          <w:sz w:val="24"/>
          <w:szCs w:val="24"/>
          <w:lang w:val="es-CL"/>
        </w:rPr>
        <w:t>odel</w:t>
      </w:r>
    </w:p>
    <w:p w14:paraId="2659881D" w14:textId="3F2D9D84" w:rsidR="00895FFD" w:rsidRPr="003B6C66" w:rsidRDefault="00C82D45" w:rsidP="0028611D">
      <w:pPr>
        <w:jc w:val="both"/>
        <w:rPr>
          <w:sz w:val="24"/>
          <w:szCs w:val="24"/>
        </w:rPr>
      </w:pPr>
      <w:r w:rsidRPr="003B6C66">
        <w:rPr>
          <w:sz w:val="24"/>
          <w:szCs w:val="24"/>
        </w:rPr>
        <w:t xml:space="preserve">We start with a basic price equation, which we subsequently modify to account for </w:t>
      </w:r>
      <w:r w:rsidR="00CD3089" w:rsidRPr="003B6C66">
        <w:rPr>
          <w:sz w:val="24"/>
          <w:szCs w:val="24"/>
        </w:rPr>
        <w:t>several</w:t>
      </w:r>
      <w:r w:rsidRPr="003B6C66">
        <w:rPr>
          <w:sz w:val="24"/>
          <w:szCs w:val="24"/>
        </w:rPr>
        <w:t xml:space="preserve"> potential econometric issues and to include some additional dynamic considerations</w:t>
      </w:r>
      <w:r w:rsidR="004B14DD" w:rsidRPr="003B6C66">
        <w:rPr>
          <w:sz w:val="24"/>
          <w:szCs w:val="24"/>
        </w:rPr>
        <w:t>,</w:t>
      </w:r>
      <w:r w:rsidR="004E1643" w:rsidRPr="003B6C66">
        <w:rPr>
          <w:sz w:val="24"/>
          <w:szCs w:val="24"/>
        </w:rPr>
        <w:t xml:space="preserve">   </w:t>
      </w:r>
    </w:p>
    <w:p w14:paraId="65C78842" w14:textId="2AF6524D" w:rsidR="002D67E6" w:rsidRPr="003B6C66" w:rsidRDefault="002D67E6" w:rsidP="0028611D">
      <w:pPr>
        <w:jc w:val="both"/>
        <w:rPr>
          <w:sz w:val="24"/>
          <w:szCs w:val="24"/>
        </w:rPr>
      </w:pPr>
      <w:r w:rsidRPr="003B6C66">
        <w:rPr>
          <w:rFonts w:eastAsiaTheme="minorEastAsia"/>
          <w:sz w:val="24"/>
          <w:szCs w:val="24"/>
        </w:rPr>
        <w:t xml:space="preserve">                                                              </w:t>
      </w:r>
      <w:bookmarkStart w:id="0" w:name="_Hlk95569557"/>
      <m:oMath>
        <m:sSub>
          <m:sSubPr>
            <m:ctrlPr>
              <w:rPr>
                <w:rFonts w:ascii="Cambria Math" w:hAnsi="Cambria Math"/>
                <w:i/>
                <w:sz w:val="24"/>
                <w:szCs w:val="24"/>
                <w:lang w:val="es-CL"/>
              </w:rPr>
            </m:ctrlPr>
          </m:sSubPr>
          <m:e>
            <m:r>
              <w:rPr>
                <w:rFonts w:ascii="Cambria Math" w:hAnsi="Cambria Math"/>
                <w:sz w:val="24"/>
                <w:szCs w:val="24"/>
                <w:lang w:val="es-CL"/>
              </w:rPr>
              <m:t>p</m:t>
            </m:r>
          </m:e>
          <m:sub>
            <m:r>
              <w:rPr>
                <w:rFonts w:ascii="Cambria Math" w:hAnsi="Cambria Math"/>
                <w:sz w:val="24"/>
                <w:szCs w:val="24"/>
                <w:lang w:val="es-CL"/>
              </w:rPr>
              <m:t>t</m:t>
            </m:r>
          </m:sub>
        </m:sSub>
        <w:bookmarkEnd w:id="0"/>
        <m:r>
          <w:rPr>
            <w:rFonts w:ascii="Cambria Math" w:hAnsi="Cambria Math"/>
            <w:sz w:val="24"/>
            <w:szCs w:val="24"/>
          </w:rPr>
          <m:t>=</m:t>
        </m:r>
        <m:r>
          <w:rPr>
            <w:rFonts w:ascii="Cambria Math" w:hAnsi="Cambria Math"/>
            <w:sz w:val="24"/>
            <w:szCs w:val="24"/>
            <w:lang w:val="es-CL"/>
          </w:rPr>
          <m:t>A</m:t>
        </m:r>
        <m:sSubSup>
          <m:sSubSupPr>
            <m:ctrlPr>
              <w:rPr>
                <w:rFonts w:ascii="Cambria Math" w:hAnsi="Cambria Math"/>
                <w:i/>
                <w:sz w:val="24"/>
                <w:szCs w:val="24"/>
                <w:lang w:val="es-CL"/>
              </w:rPr>
            </m:ctrlPr>
          </m:sSubSupPr>
          <m:e>
            <m:r>
              <w:rPr>
                <w:rFonts w:ascii="Cambria Math" w:hAnsi="Cambria Math"/>
                <w:sz w:val="24"/>
                <w:szCs w:val="24"/>
                <w:lang w:val="es-CL"/>
              </w:rPr>
              <m:t>P</m:t>
            </m:r>
          </m:e>
          <m:sub>
            <m:r>
              <w:rPr>
                <w:rFonts w:ascii="Cambria Math" w:hAnsi="Cambria Math"/>
                <w:sz w:val="24"/>
                <w:szCs w:val="24"/>
                <w:lang w:val="es-CL"/>
              </w:rPr>
              <m:t>t</m:t>
            </m:r>
          </m:sub>
          <m:sup>
            <m:r>
              <w:rPr>
                <w:rFonts w:ascii="Cambria Math" w:hAnsi="Cambria Math"/>
                <w:sz w:val="24"/>
                <w:szCs w:val="24"/>
                <w:lang w:val="es-CL"/>
              </w:rPr>
              <m:t>α</m:t>
            </m:r>
          </m:sup>
        </m:sSubSup>
        <m:sSubSup>
          <m:sSubSupPr>
            <m:ctrlPr>
              <w:rPr>
                <w:rFonts w:ascii="Cambria Math" w:hAnsi="Cambria Math"/>
                <w:i/>
                <w:sz w:val="24"/>
                <w:szCs w:val="24"/>
                <w:lang w:val="es-CL"/>
              </w:rPr>
            </m:ctrlPr>
          </m:sSubSupPr>
          <m:e>
            <m:r>
              <w:rPr>
                <w:rFonts w:ascii="Cambria Math" w:hAnsi="Cambria Math"/>
                <w:sz w:val="24"/>
                <w:szCs w:val="24"/>
                <w:lang w:val="es-CL"/>
              </w:rPr>
              <m:t>E</m:t>
            </m:r>
          </m:e>
          <m:sub>
            <m:r>
              <w:rPr>
                <w:rFonts w:ascii="Cambria Math" w:hAnsi="Cambria Math"/>
                <w:sz w:val="24"/>
                <w:szCs w:val="24"/>
                <w:lang w:val="es-CL"/>
              </w:rPr>
              <m:t>t</m:t>
            </m:r>
          </m:sub>
          <m:sup>
            <m:r>
              <w:rPr>
                <w:rFonts w:ascii="Cambria Math" w:hAnsi="Cambria Math"/>
                <w:sz w:val="24"/>
                <w:szCs w:val="24"/>
                <w:lang w:val="es-CL"/>
              </w:rPr>
              <m:t>β</m:t>
            </m:r>
          </m:sup>
        </m:sSubSup>
        <m:sSubSup>
          <m:sSubSupPr>
            <m:ctrlPr>
              <w:rPr>
                <w:rFonts w:ascii="Cambria Math" w:hAnsi="Cambria Math"/>
                <w:i/>
                <w:sz w:val="24"/>
                <w:szCs w:val="24"/>
                <w:lang w:val="es-CL"/>
              </w:rPr>
            </m:ctrlPr>
          </m:sSubSupPr>
          <m:e>
            <m:r>
              <w:rPr>
                <w:rFonts w:ascii="Cambria Math" w:hAnsi="Cambria Math"/>
                <w:sz w:val="24"/>
                <w:szCs w:val="24"/>
                <w:lang w:val="es-CL"/>
              </w:rPr>
              <m:t>D</m:t>
            </m:r>
          </m:e>
          <m:sub>
            <m:r>
              <w:rPr>
                <w:rFonts w:ascii="Cambria Math" w:hAnsi="Cambria Math"/>
                <w:sz w:val="24"/>
                <w:szCs w:val="24"/>
                <w:lang w:val="es-CL"/>
              </w:rPr>
              <m:t>t</m:t>
            </m:r>
          </m:sub>
          <m:sup>
            <m:r>
              <w:rPr>
                <w:rFonts w:ascii="Cambria Math" w:hAnsi="Cambria Math"/>
                <w:sz w:val="24"/>
                <w:szCs w:val="24"/>
                <w:lang w:val="es-CL"/>
              </w:rPr>
              <m:t>γ</m:t>
            </m:r>
          </m:sup>
        </m:sSubSup>
        <m:sSup>
          <m:sSupPr>
            <m:ctrlPr>
              <w:rPr>
                <w:rFonts w:ascii="Cambria Math" w:hAnsi="Cambria Math"/>
                <w:i/>
                <w:sz w:val="24"/>
                <w:szCs w:val="24"/>
                <w:lang w:val="es-CL"/>
              </w:rPr>
            </m:ctrlPr>
          </m:sSupPr>
          <m:e>
            <m:r>
              <w:rPr>
                <w:rFonts w:ascii="Cambria Math" w:hAnsi="Cambria Math"/>
                <w:sz w:val="24"/>
                <w:szCs w:val="24"/>
                <w:lang w:val="es-CL"/>
              </w:rPr>
              <m:t>e</m:t>
            </m:r>
          </m:e>
          <m:sup>
            <m:sSub>
              <m:sSubPr>
                <m:ctrlPr>
                  <w:rPr>
                    <w:rFonts w:ascii="Cambria Math" w:hAnsi="Cambria Math"/>
                    <w:i/>
                    <w:sz w:val="24"/>
                    <w:szCs w:val="24"/>
                    <w:lang w:val="es-CL"/>
                  </w:rPr>
                </m:ctrlPr>
              </m:sSubPr>
              <m:e>
                <m:r>
                  <w:rPr>
                    <w:rFonts w:ascii="Cambria Math" w:hAnsi="Cambria Math"/>
                    <w:sz w:val="24"/>
                    <w:szCs w:val="24"/>
                    <w:lang w:val="es-CL"/>
                  </w:rPr>
                  <m:t>μ</m:t>
                </m:r>
              </m:e>
              <m:sub>
                <m:r>
                  <w:rPr>
                    <w:rFonts w:ascii="Cambria Math" w:hAnsi="Cambria Math"/>
                    <w:sz w:val="24"/>
                    <w:szCs w:val="24"/>
                    <w:lang w:val="es-CL"/>
                  </w:rPr>
                  <m:t>t</m:t>
                </m:r>
              </m:sub>
            </m:sSub>
          </m:sup>
        </m:sSup>
      </m:oMath>
      <w:r w:rsidR="00352F17" w:rsidRPr="003B6C66">
        <w:rPr>
          <w:sz w:val="24"/>
          <w:szCs w:val="24"/>
        </w:rPr>
        <w:t xml:space="preserve">        </w:t>
      </w:r>
      <w:r w:rsidR="00252876" w:rsidRPr="003B6C66">
        <w:rPr>
          <w:sz w:val="24"/>
          <w:szCs w:val="24"/>
        </w:rPr>
        <w:t xml:space="preserve">  </w:t>
      </w:r>
      <w:r w:rsidRPr="003B6C66">
        <w:rPr>
          <w:sz w:val="24"/>
          <w:szCs w:val="24"/>
        </w:rPr>
        <w:t xml:space="preserve">                (1)</w:t>
      </w:r>
    </w:p>
    <w:p w14:paraId="1A02B485" w14:textId="38BCFF0B" w:rsidR="000048DA" w:rsidRPr="003B6C66" w:rsidRDefault="000E1A84" w:rsidP="0028611D">
      <w:pPr>
        <w:jc w:val="both"/>
        <w:rPr>
          <w:rFonts w:eastAsiaTheme="minorEastAsia"/>
          <w:sz w:val="24"/>
          <w:szCs w:val="24"/>
        </w:rPr>
      </w:pPr>
      <w:r w:rsidRPr="003B6C66">
        <w:rPr>
          <w:sz w:val="24"/>
          <w:szCs w:val="24"/>
        </w:rPr>
        <w:t>Where</w:t>
      </w:r>
      <w:r w:rsidR="002D67E6" w:rsidRPr="003B6C66">
        <w:rPr>
          <w:sz w:val="24"/>
          <w:szCs w:val="24"/>
        </w:rPr>
        <w:t xml:space="preserve"> </w:t>
      </w:r>
      <m:oMath>
        <m:sSub>
          <m:sSubPr>
            <m:ctrlPr>
              <w:rPr>
                <w:rFonts w:ascii="Cambria Math" w:hAnsi="Cambria Math"/>
                <w:i/>
                <w:sz w:val="24"/>
                <w:szCs w:val="24"/>
                <w:lang w:val="es-CL"/>
              </w:rPr>
            </m:ctrlPr>
          </m:sSubPr>
          <m:e>
            <m:r>
              <w:rPr>
                <w:rFonts w:ascii="Cambria Math" w:hAnsi="Cambria Math"/>
                <w:sz w:val="24"/>
                <w:szCs w:val="24"/>
                <w:lang w:val="es-CL"/>
              </w:rPr>
              <m:t>p</m:t>
            </m:r>
          </m:e>
          <m:sub>
            <m:r>
              <w:rPr>
                <w:rFonts w:ascii="Cambria Math" w:hAnsi="Cambria Math"/>
                <w:sz w:val="24"/>
                <w:szCs w:val="24"/>
                <w:lang w:val="es-CL"/>
              </w:rPr>
              <m:t>t</m:t>
            </m:r>
            <m:r>
              <w:rPr>
                <w:rFonts w:ascii="Cambria Math" w:hAnsi="Cambria Math"/>
                <w:sz w:val="24"/>
                <w:szCs w:val="24"/>
              </w:rPr>
              <m:t xml:space="preserve"> </m:t>
            </m:r>
          </m:sub>
        </m:sSub>
      </m:oMath>
      <w:r w:rsidRPr="003B6C66">
        <w:rPr>
          <w:sz w:val="24"/>
          <w:szCs w:val="24"/>
        </w:rPr>
        <w:t xml:space="preserve"> is the level of the domestic price index in month</w:t>
      </w:r>
      <w:r w:rsidR="002D67E6" w:rsidRPr="003B6C66">
        <w:rPr>
          <w:rFonts w:eastAsiaTheme="minorEastAsia"/>
          <w:sz w:val="24"/>
          <w:szCs w:val="24"/>
        </w:rPr>
        <w:t xml:space="preserve"> </w:t>
      </w:r>
      <m:oMath>
        <m:r>
          <w:rPr>
            <w:rFonts w:ascii="Cambria Math" w:eastAsiaTheme="minorEastAsia" w:hAnsi="Cambria Math"/>
            <w:sz w:val="24"/>
            <w:szCs w:val="24"/>
            <w:lang w:val="es-CL"/>
          </w:rPr>
          <m:t>t</m:t>
        </m:r>
      </m:oMath>
      <w:r w:rsidR="002D67E6" w:rsidRPr="003B6C66">
        <w:rPr>
          <w:rFonts w:eastAsiaTheme="minorEastAsia"/>
          <w:sz w:val="24"/>
          <w:szCs w:val="24"/>
        </w:rPr>
        <w:t>;</w:t>
      </w:r>
      <w:r w:rsidR="00C81E58" w:rsidRPr="003B6C66">
        <w:rPr>
          <w:rFonts w:eastAsiaTheme="minorEastAsia"/>
          <w:sz w:val="24"/>
          <w:szCs w:val="24"/>
        </w:rPr>
        <w:t xml:space="preserve"> </w:t>
      </w:r>
      <w:r w:rsidR="002D67E6" w:rsidRPr="003B6C66">
        <w:rPr>
          <w:rFonts w:eastAsiaTheme="minorEastAsia"/>
          <w:sz w:val="24"/>
          <w:szCs w:val="24"/>
        </w:rPr>
        <w:t xml:space="preserve"> </w:t>
      </w:r>
      <m:oMath>
        <m:r>
          <w:rPr>
            <w:rFonts w:ascii="Cambria Math" w:eastAsiaTheme="minorEastAsia" w:hAnsi="Cambria Math"/>
            <w:sz w:val="24"/>
            <w:szCs w:val="24"/>
            <w:lang w:val="es-CL"/>
          </w:rPr>
          <m:t>A</m:t>
        </m:r>
      </m:oMath>
      <w:r w:rsidR="002D67E6" w:rsidRPr="003B6C66">
        <w:rPr>
          <w:rFonts w:eastAsiaTheme="minorEastAsia"/>
          <w:sz w:val="24"/>
          <w:szCs w:val="24"/>
        </w:rPr>
        <w:t xml:space="preserve"> </w:t>
      </w:r>
      <w:r w:rsidRPr="003B6C66">
        <w:rPr>
          <w:sz w:val="24"/>
          <w:szCs w:val="24"/>
        </w:rPr>
        <w:t>is a constant</w:t>
      </w:r>
      <w:r w:rsidR="002D67E6" w:rsidRPr="003B6C66">
        <w:rPr>
          <w:rFonts w:eastAsiaTheme="minorEastAsia"/>
          <w:sz w:val="24"/>
          <w:szCs w:val="24"/>
        </w:rPr>
        <w:t xml:space="preserve">,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P</m:t>
            </m:r>
          </m:e>
          <m:sub>
            <m:r>
              <w:rPr>
                <w:rFonts w:ascii="Cambria Math" w:eastAsiaTheme="minorEastAsia" w:hAnsi="Cambria Math"/>
                <w:sz w:val="24"/>
                <w:szCs w:val="24"/>
                <w:lang w:val="es-CL"/>
              </w:rPr>
              <m:t>t</m:t>
            </m:r>
          </m:sub>
        </m:sSub>
      </m:oMath>
      <w:r w:rsidR="00252876" w:rsidRPr="003B6C66">
        <w:rPr>
          <w:sz w:val="24"/>
          <w:szCs w:val="24"/>
        </w:rPr>
        <w:t xml:space="preserve"> </w:t>
      </w:r>
      <w:r w:rsidRPr="003B6C66">
        <w:rPr>
          <w:sz w:val="24"/>
          <w:szCs w:val="24"/>
        </w:rPr>
        <w:t>is the price index abroad</w:t>
      </w:r>
      <w:r w:rsidR="002D67E6" w:rsidRPr="003B6C66">
        <w:rPr>
          <w:sz w:val="24"/>
          <w:szCs w:val="24"/>
        </w:rPr>
        <w:t xml:space="preserve">; </w:t>
      </w:r>
      <m:oMath>
        <m:sSub>
          <m:sSubPr>
            <m:ctrlPr>
              <w:rPr>
                <w:rFonts w:ascii="Cambria Math" w:hAnsi="Cambria Math"/>
                <w:i/>
                <w:sz w:val="24"/>
                <w:szCs w:val="24"/>
                <w:lang w:val="es-CL"/>
              </w:rPr>
            </m:ctrlPr>
          </m:sSubPr>
          <m:e>
            <m:r>
              <w:rPr>
                <w:rFonts w:ascii="Cambria Math" w:hAnsi="Cambria Math"/>
                <w:sz w:val="24"/>
                <w:szCs w:val="24"/>
                <w:lang w:val="es-CL"/>
              </w:rPr>
              <m:t>E</m:t>
            </m:r>
          </m:e>
          <m:sub>
            <m:r>
              <w:rPr>
                <w:rFonts w:ascii="Cambria Math" w:hAnsi="Cambria Math"/>
                <w:sz w:val="24"/>
                <w:szCs w:val="24"/>
                <w:lang w:val="es-CL"/>
              </w:rPr>
              <m:t>t</m:t>
            </m:r>
          </m:sub>
        </m:sSub>
      </m:oMath>
      <w:r w:rsidR="002D67E6" w:rsidRPr="003B6C66">
        <w:rPr>
          <w:rFonts w:eastAsiaTheme="minorEastAsia"/>
          <w:sz w:val="24"/>
          <w:szCs w:val="24"/>
        </w:rPr>
        <w:t xml:space="preserve"> </w:t>
      </w:r>
      <w:r w:rsidRPr="003B6C66">
        <w:rPr>
          <w:sz w:val="24"/>
          <w:szCs w:val="24"/>
        </w:rPr>
        <w:t>is the nominal exchange rate</w:t>
      </w:r>
      <w:r w:rsidR="002D67E6" w:rsidRPr="003B6C66">
        <w:rPr>
          <w:rFonts w:eastAsiaTheme="minorEastAsia"/>
          <w:sz w:val="24"/>
          <w:szCs w:val="24"/>
        </w:rPr>
        <w:t xml:space="preserve">;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t</m:t>
            </m:r>
          </m:sub>
        </m:sSub>
      </m:oMath>
      <w:r w:rsidRPr="003B6C66">
        <w:rPr>
          <w:rFonts w:eastAsiaTheme="minorEastAsia"/>
          <w:sz w:val="24"/>
          <w:szCs w:val="24"/>
        </w:rPr>
        <w:t xml:space="preserve"> </w:t>
      </w:r>
      <w:r w:rsidRPr="003B6C66">
        <w:rPr>
          <w:sz w:val="24"/>
          <w:szCs w:val="24"/>
        </w:rPr>
        <w:t>is the level of internal demand</w:t>
      </w:r>
      <w:r w:rsidR="000048DA" w:rsidRPr="003B6C66">
        <w:rPr>
          <w:rFonts w:eastAsiaTheme="minorEastAsia"/>
          <w:sz w:val="24"/>
          <w:szCs w:val="24"/>
        </w:rPr>
        <w:t xml:space="preserve">; </w:t>
      </w:r>
      <m:oMath>
        <m:r>
          <w:rPr>
            <w:rFonts w:ascii="Cambria Math" w:eastAsiaTheme="minorEastAsia" w:hAnsi="Cambria Math"/>
            <w:sz w:val="24"/>
            <w:szCs w:val="24"/>
            <w:lang w:val="es-CL"/>
          </w:rPr>
          <m:t>α</m:t>
        </m:r>
        <m:r>
          <w:rPr>
            <w:rFonts w:ascii="Cambria Math" w:eastAsiaTheme="minorEastAsia" w:hAnsi="Cambria Math"/>
            <w:sz w:val="24"/>
            <w:szCs w:val="24"/>
          </w:rPr>
          <m:t>,</m:t>
        </m:r>
        <m:r>
          <w:rPr>
            <w:rFonts w:ascii="Cambria Math" w:eastAsiaTheme="minorEastAsia" w:hAnsi="Cambria Math"/>
            <w:sz w:val="24"/>
            <w:szCs w:val="24"/>
            <w:lang w:val="es-CL"/>
          </w:rPr>
          <m:t>β</m:t>
        </m:r>
        <m:r>
          <w:rPr>
            <w:rFonts w:ascii="Cambria Math" w:eastAsiaTheme="minorEastAsia" w:hAnsi="Cambria Math"/>
            <w:sz w:val="24"/>
            <w:szCs w:val="24"/>
          </w:rPr>
          <m:t xml:space="preserve">, </m:t>
        </m:r>
        <m:r>
          <w:rPr>
            <w:rFonts w:ascii="Cambria Math" w:eastAsiaTheme="minorEastAsia" w:hAnsi="Cambria Math"/>
            <w:sz w:val="24"/>
            <w:szCs w:val="24"/>
            <w:lang w:val="es-CL"/>
          </w:rPr>
          <m:t>γ</m:t>
        </m:r>
      </m:oMath>
      <w:r w:rsidR="000048DA" w:rsidRPr="003B6C66">
        <w:rPr>
          <w:rFonts w:eastAsiaTheme="minorEastAsia"/>
          <w:sz w:val="24"/>
          <w:szCs w:val="24"/>
        </w:rPr>
        <w:t xml:space="preserve"> </w:t>
      </w:r>
      <w:r w:rsidRPr="003B6C66">
        <w:rPr>
          <w:sz w:val="24"/>
          <w:szCs w:val="24"/>
        </w:rPr>
        <w:t>are parameters and</w:t>
      </w:r>
      <w:r w:rsidR="000048DA" w:rsidRPr="003B6C66">
        <w:rPr>
          <w:rFonts w:eastAsiaTheme="minorEastAsia"/>
          <w:sz w:val="24"/>
          <w:szCs w:val="24"/>
        </w:rPr>
        <w:t xml:space="preserve">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μ</m:t>
            </m:r>
          </m:e>
          <m:sub>
            <m:r>
              <w:rPr>
                <w:rFonts w:ascii="Cambria Math" w:eastAsiaTheme="minorEastAsia" w:hAnsi="Cambria Math"/>
                <w:sz w:val="24"/>
                <w:szCs w:val="24"/>
                <w:lang w:val="es-CL"/>
              </w:rPr>
              <m:t>t</m:t>
            </m:r>
          </m:sub>
        </m:sSub>
      </m:oMath>
      <w:r w:rsidR="000048DA" w:rsidRPr="003B6C66">
        <w:rPr>
          <w:rFonts w:eastAsiaTheme="minorEastAsia"/>
          <w:sz w:val="24"/>
          <w:szCs w:val="24"/>
        </w:rPr>
        <w:t xml:space="preserve"> </w:t>
      </w:r>
      <w:r w:rsidRPr="003B6C66">
        <w:rPr>
          <w:sz w:val="24"/>
          <w:szCs w:val="24"/>
        </w:rPr>
        <w:t>is the statistical error</w:t>
      </w:r>
      <w:r w:rsidR="000048DA" w:rsidRPr="003B6C66">
        <w:rPr>
          <w:rFonts w:eastAsiaTheme="minorEastAsia"/>
          <w:sz w:val="24"/>
          <w:szCs w:val="24"/>
        </w:rPr>
        <w:t>.</w:t>
      </w:r>
    </w:p>
    <w:p w14:paraId="65CCD568" w14:textId="475D8604" w:rsidR="000A3A4E" w:rsidRPr="003B6C66" w:rsidRDefault="000A3A4E" w:rsidP="0028611D">
      <w:pPr>
        <w:jc w:val="both"/>
        <w:rPr>
          <w:rFonts w:eastAsiaTheme="minorEastAsia"/>
          <w:sz w:val="24"/>
          <w:szCs w:val="24"/>
        </w:rPr>
      </w:pPr>
      <w:r w:rsidRPr="003B6C66">
        <w:rPr>
          <w:rFonts w:eastAsiaTheme="minorEastAsia"/>
          <w:sz w:val="24"/>
          <w:szCs w:val="24"/>
        </w:rPr>
        <w:t>We first express equation (1) in logarithms. Additionally, to account for the possibility of unit roots we estimate this equation using log first differences,</w:t>
      </w:r>
    </w:p>
    <w:p w14:paraId="7D568352" w14:textId="5AD5584F" w:rsidR="002D11FB" w:rsidRPr="003B6C66" w:rsidRDefault="002D11FB" w:rsidP="0028611D">
      <w:pPr>
        <w:jc w:val="both"/>
        <w:rPr>
          <w:rFonts w:eastAsiaTheme="minorEastAsia"/>
          <w:sz w:val="24"/>
          <w:szCs w:val="24"/>
        </w:rPr>
      </w:pPr>
      <w:r w:rsidRPr="003B6C66">
        <w:rPr>
          <w:rFonts w:eastAsiaTheme="minorEastAsia"/>
          <w:sz w:val="24"/>
          <w:szCs w:val="24"/>
        </w:rPr>
        <w:t xml:space="preserve">                                   </w:t>
      </w:r>
      <m:oMath>
        <m:r>
          <w:rPr>
            <w:rFonts w:ascii="Cambria Math" w:eastAsiaTheme="minorEastAsia" w:hAnsi="Cambria Math"/>
            <w:sz w:val="24"/>
            <w:szCs w:val="24"/>
          </w:rPr>
          <m:t>∆</m:t>
        </m:r>
        <m:r>
          <w:rPr>
            <w:rFonts w:ascii="Cambria Math" w:eastAsiaTheme="minorEastAsia" w:hAnsi="Cambria Math"/>
            <w:sz w:val="24"/>
            <w:szCs w:val="24"/>
            <w:lang w:val="es-CL"/>
          </w:rPr>
          <m:t>ln</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p</m:t>
            </m:r>
          </m:e>
          <m:sub>
            <m:r>
              <w:rPr>
                <w:rFonts w:ascii="Cambria Math" w:eastAsiaTheme="minorEastAsia" w:hAnsi="Cambria Math"/>
                <w:sz w:val="24"/>
                <w:szCs w:val="24"/>
                <w:lang w:val="es-CL"/>
              </w:rPr>
              <m:t>t</m:t>
            </m:r>
          </m:sub>
        </m:sSub>
        <m:r>
          <w:rPr>
            <w:rFonts w:ascii="Cambria Math" w:eastAsiaTheme="minorEastAsia" w:hAnsi="Cambria Math"/>
            <w:sz w:val="24"/>
            <w:szCs w:val="24"/>
          </w:rPr>
          <m:t>=</m:t>
        </m:r>
        <m:r>
          <w:rPr>
            <w:rFonts w:ascii="Cambria Math" w:eastAsiaTheme="minorEastAsia" w:hAnsi="Cambria Math"/>
            <w:sz w:val="24"/>
            <w:szCs w:val="24"/>
            <w:lang w:val="es-CL"/>
          </w:rPr>
          <m:t>α</m:t>
        </m:r>
        <m:r>
          <w:rPr>
            <w:rFonts w:ascii="Cambria Math" w:eastAsiaTheme="minorEastAsia" w:hAnsi="Cambria Math"/>
            <w:sz w:val="24"/>
            <w:szCs w:val="24"/>
          </w:rPr>
          <m:t>∆</m:t>
        </m:r>
        <m:r>
          <w:rPr>
            <w:rFonts w:ascii="Cambria Math" w:eastAsiaTheme="minorEastAsia" w:hAnsi="Cambria Math"/>
            <w:sz w:val="24"/>
            <w:szCs w:val="24"/>
            <w:lang w:val="es-CL"/>
          </w:rPr>
          <m:t>ln</m:t>
        </m:r>
        <w:bookmarkStart w:id="1" w:name="_Hlk95571280"/>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P</m:t>
            </m:r>
          </m:e>
          <m:sub>
            <m:r>
              <w:rPr>
                <w:rFonts w:ascii="Cambria Math" w:eastAsiaTheme="minorEastAsia" w:hAnsi="Cambria Math"/>
                <w:sz w:val="24"/>
                <w:szCs w:val="24"/>
                <w:lang w:val="es-CL"/>
              </w:rPr>
              <m:t>t</m:t>
            </m:r>
          </m:sub>
        </m:sSub>
        <w:bookmarkEnd w:id="1"/>
        <m:r>
          <w:rPr>
            <w:rFonts w:ascii="Cambria Math" w:eastAsiaTheme="minorEastAsia" w:hAnsi="Cambria Math"/>
            <w:sz w:val="24"/>
            <w:szCs w:val="24"/>
          </w:rPr>
          <m:t>+</m:t>
        </m:r>
        <m:r>
          <w:rPr>
            <w:rFonts w:ascii="Cambria Math" w:eastAsiaTheme="minorEastAsia" w:hAnsi="Cambria Math"/>
            <w:sz w:val="24"/>
            <w:szCs w:val="24"/>
            <w:lang w:val="es-CL"/>
          </w:rPr>
          <m:t>β</m:t>
        </m:r>
        <m:r>
          <w:rPr>
            <w:rFonts w:ascii="Cambria Math" w:eastAsiaTheme="minorEastAsia" w:hAnsi="Cambria Math"/>
            <w:sz w:val="24"/>
            <w:szCs w:val="24"/>
          </w:rPr>
          <m:t>∆</m:t>
        </m:r>
        <m:r>
          <w:rPr>
            <w:rFonts w:ascii="Cambria Math" w:eastAsiaTheme="minorEastAsia" w:hAnsi="Cambria Math"/>
            <w:sz w:val="24"/>
            <w:szCs w:val="24"/>
            <w:lang w:val="es-CL"/>
          </w:rPr>
          <m:t>ln</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E</m:t>
            </m:r>
          </m:e>
          <m:sub>
            <m:r>
              <w:rPr>
                <w:rFonts w:ascii="Cambria Math" w:eastAsiaTheme="minorEastAsia" w:hAnsi="Cambria Math"/>
                <w:sz w:val="24"/>
                <w:szCs w:val="24"/>
                <w:lang w:val="es-CL"/>
              </w:rPr>
              <m:t>t</m:t>
            </m:r>
          </m:sub>
        </m:sSub>
        <m:r>
          <w:rPr>
            <w:rFonts w:ascii="Cambria Math" w:eastAsiaTheme="minorEastAsia" w:hAnsi="Cambria Math"/>
            <w:sz w:val="24"/>
            <w:szCs w:val="24"/>
          </w:rPr>
          <m:t>+</m:t>
        </m:r>
        <m:r>
          <w:rPr>
            <w:rFonts w:ascii="Cambria Math" w:eastAsiaTheme="minorEastAsia" w:hAnsi="Cambria Math"/>
            <w:sz w:val="24"/>
            <w:szCs w:val="24"/>
            <w:lang w:val="es-CL"/>
          </w:rPr>
          <m:t>γ</m:t>
        </m:r>
        <m:r>
          <w:rPr>
            <w:rFonts w:ascii="Cambria Math" w:eastAsiaTheme="minorEastAsia" w:hAnsi="Cambria Math"/>
            <w:sz w:val="24"/>
            <w:szCs w:val="24"/>
          </w:rPr>
          <m:t>∆</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lnD</m:t>
            </m:r>
          </m:e>
          <m:sub>
            <m:r>
              <w:rPr>
                <w:rFonts w:ascii="Cambria Math" w:eastAsiaTheme="minorEastAsia" w:hAnsi="Cambria Math"/>
                <w:sz w:val="24"/>
                <w:szCs w:val="24"/>
                <w:lang w:val="es-CL"/>
              </w:rPr>
              <m:t>t</m:t>
            </m:r>
          </m:sub>
        </m:sSub>
        <m:r>
          <w:rPr>
            <w:rFonts w:ascii="Cambria Math" w:eastAsiaTheme="minorEastAsia" w:hAnsi="Cambria Math"/>
            <w:sz w:val="24"/>
            <w:szCs w:val="24"/>
          </w:rPr>
          <m:t>+∆</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μ</m:t>
            </m:r>
          </m:e>
          <m:sub>
            <m:r>
              <w:rPr>
                <w:rFonts w:ascii="Cambria Math" w:eastAsiaTheme="minorEastAsia" w:hAnsi="Cambria Math"/>
                <w:sz w:val="24"/>
                <w:szCs w:val="24"/>
                <w:lang w:val="es-CL"/>
              </w:rPr>
              <m:t>t</m:t>
            </m:r>
          </m:sub>
        </m:sSub>
      </m:oMath>
      <w:r w:rsidRPr="003B6C66">
        <w:rPr>
          <w:rFonts w:eastAsiaTheme="minorEastAsia"/>
          <w:sz w:val="24"/>
          <w:szCs w:val="24"/>
        </w:rPr>
        <w:t xml:space="preserve">             (2)</w:t>
      </w:r>
    </w:p>
    <w:p w14:paraId="4573403C" w14:textId="72CC3FCC" w:rsidR="002D11FB" w:rsidRPr="003B6C66" w:rsidRDefault="000A3A4E" w:rsidP="0028611D">
      <w:pPr>
        <w:jc w:val="both"/>
        <w:rPr>
          <w:rFonts w:eastAsiaTheme="minorEastAsia"/>
          <w:sz w:val="24"/>
          <w:szCs w:val="24"/>
        </w:rPr>
      </w:pPr>
      <w:r w:rsidRPr="003B6C66">
        <w:rPr>
          <w:rFonts w:eastAsiaTheme="minorEastAsia"/>
          <w:sz w:val="24"/>
          <w:szCs w:val="24"/>
        </w:rPr>
        <w:t>Where</w:t>
      </w:r>
      <w:r w:rsidR="00690C59" w:rsidRPr="003B6C66">
        <w:rPr>
          <w:rFonts w:eastAsiaTheme="minorEastAsia"/>
          <w:sz w:val="24"/>
          <w:szCs w:val="24"/>
        </w:rPr>
        <w:t xml:space="preserve"> </w:t>
      </w:r>
      <m:oMath>
        <m:r>
          <w:rPr>
            <w:rFonts w:ascii="Cambria Math" w:eastAsiaTheme="minorEastAsia" w:hAnsi="Cambria Math"/>
            <w:sz w:val="24"/>
            <w:szCs w:val="24"/>
          </w:rPr>
          <m:t>∆</m:t>
        </m:r>
        <m:r>
          <w:rPr>
            <w:rFonts w:ascii="Cambria Math" w:eastAsiaTheme="minorEastAsia" w:hAnsi="Cambria Math"/>
            <w:sz w:val="24"/>
            <w:szCs w:val="24"/>
            <w:lang w:val="es-CL"/>
          </w:rPr>
          <m:t>ln</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x</m:t>
            </m:r>
          </m:e>
          <m:sub>
            <m:r>
              <w:rPr>
                <w:rFonts w:ascii="Cambria Math" w:eastAsiaTheme="minorEastAsia" w:hAnsi="Cambria Math"/>
                <w:sz w:val="24"/>
                <w:szCs w:val="24"/>
                <w:lang w:val="es-CL"/>
              </w:rPr>
              <m:t>t</m:t>
            </m:r>
          </m:sub>
        </m:sSub>
        <m:r>
          <w:rPr>
            <w:rFonts w:ascii="Cambria Math" w:eastAsiaTheme="minorEastAsia" w:hAnsi="Cambria Math"/>
            <w:sz w:val="24"/>
            <w:szCs w:val="24"/>
          </w:rPr>
          <m:t>≡</m:t>
        </m:r>
        <m:r>
          <w:rPr>
            <w:rFonts w:ascii="Cambria Math" w:eastAsiaTheme="minorEastAsia" w:hAnsi="Cambria Math"/>
            <w:sz w:val="24"/>
            <w:szCs w:val="24"/>
            <w:lang w:val="es-CL"/>
          </w:rPr>
          <m:t>ln</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x</m:t>
            </m:r>
          </m:e>
          <m:sub>
            <m:r>
              <w:rPr>
                <w:rFonts w:ascii="Cambria Math" w:eastAsiaTheme="minorEastAsia" w:hAnsi="Cambria Math"/>
                <w:sz w:val="24"/>
                <w:szCs w:val="24"/>
                <w:lang w:val="es-CL"/>
              </w:rPr>
              <m:t>t</m:t>
            </m:r>
          </m:sub>
        </m:sSub>
        <m:r>
          <w:rPr>
            <w:rFonts w:ascii="Cambria Math" w:eastAsiaTheme="minorEastAsia" w:hAnsi="Cambria Math"/>
            <w:sz w:val="24"/>
            <w:szCs w:val="24"/>
          </w:rPr>
          <m:t>-</m:t>
        </m:r>
        <m:r>
          <w:rPr>
            <w:rFonts w:ascii="Cambria Math" w:eastAsiaTheme="minorEastAsia" w:hAnsi="Cambria Math"/>
            <w:sz w:val="24"/>
            <w:szCs w:val="24"/>
            <w:lang w:val="es-CL"/>
          </w:rPr>
          <m:t>ln</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x</m:t>
            </m:r>
          </m:e>
          <m:sub>
            <m:r>
              <w:rPr>
                <w:rFonts w:ascii="Cambria Math" w:eastAsiaTheme="minorEastAsia" w:hAnsi="Cambria Math"/>
                <w:sz w:val="24"/>
                <w:szCs w:val="24"/>
                <w:lang w:val="es-CL"/>
              </w:rPr>
              <m:t>t</m:t>
            </m:r>
            <m:r>
              <w:rPr>
                <w:rFonts w:ascii="Cambria Math" w:eastAsiaTheme="minorEastAsia" w:hAnsi="Cambria Math"/>
                <w:sz w:val="24"/>
                <w:szCs w:val="24"/>
              </w:rPr>
              <m:t>-1</m:t>
            </m:r>
          </m:sub>
        </m:sSub>
      </m:oMath>
      <w:r w:rsidR="002D11FB" w:rsidRPr="003B6C66">
        <w:rPr>
          <w:rFonts w:eastAsiaTheme="minorEastAsia"/>
          <w:sz w:val="24"/>
          <w:szCs w:val="24"/>
        </w:rPr>
        <w:t xml:space="preserve"> </w:t>
      </w:r>
      <w:r w:rsidR="00E0036A" w:rsidRPr="003B6C66">
        <w:rPr>
          <w:rFonts w:eastAsiaTheme="minorEastAsia"/>
          <w:sz w:val="24"/>
          <w:szCs w:val="24"/>
        </w:rPr>
        <w:t xml:space="preserve">, </w:t>
      </w:r>
      <w:r w:rsidR="00C1132A" w:rsidRPr="003B6C66">
        <w:rPr>
          <w:rFonts w:eastAsiaTheme="minorEastAsia"/>
          <w:sz w:val="24"/>
          <w:szCs w:val="24"/>
        </w:rPr>
        <w:t>for</w:t>
      </w:r>
      <w:r w:rsidR="00690C59" w:rsidRPr="003B6C66">
        <w:rPr>
          <w:rFonts w:eastAsiaTheme="minorEastAsia"/>
          <w:sz w:val="24"/>
          <w:szCs w:val="24"/>
        </w:rPr>
        <w:t xml:space="preserve">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x</m:t>
            </m:r>
          </m:e>
          <m:sub>
            <m:r>
              <w:rPr>
                <w:rFonts w:ascii="Cambria Math" w:eastAsiaTheme="minorEastAsia" w:hAnsi="Cambria Math"/>
                <w:sz w:val="24"/>
                <w:szCs w:val="24"/>
                <w:lang w:val="es-CL"/>
              </w:rPr>
              <m:t>t</m:t>
            </m:r>
          </m:sub>
        </m:sSub>
        <m:r>
          <w:rPr>
            <w:rFonts w:ascii="Cambria Math" w:eastAsiaTheme="minorEastAsia" w:hAnsi="Cambria Math"/>
            <w:sz w:val="24"/>
            <w:szCs w:val="24"/>
          </w:rPr>
          <m:t>=</m:t>
        </m:r>
        <m:d>
          <m:dPr>
            <m:begChr m:val="{"/>
            <m:endChr m:val=""/>
            <m:ctrlPr>
              <w:rPr>
                <w:rFonts w:ascii="Cambria Math" w:eastAsiaTheme="minorEastAsia" w:hAnsi="Cambria Math"/>
                <w:i/>
                <w:sz w:val="24"/>
                <w:szCs w:val="24"/>
                <w:lang w:val="es-CL"/>
              </w:rPr>
            </m:ctrlPr>
          </m:dPr>
          <m:e>
            <m:eqArr>
              <m:eqArrPr>
                <m:ctrlPr>
                  <w:rPr>
                    <w:rFonts w:ascii="Cambria Math" w:eastAsiaTheme="minorEastAsia" w:hAnsi="Cambria Math"/>
                    <w:i/>
                    <w:sz w:val="24"/>
                    <w:szCs w:val="24"/>
                    <w:lang w:val="es-CL"/>
                  </w:rPr>
                </m:ctrlPr>
              </m:eqArrPr>
              <m:e>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P</m:t>
                    </m:r>
                  </m:e>
                  <m:sub>
                    <m:r>
                      <w:rPr>
                        <w:rFonts w:ascii="Cambria Math" w:eastAsiaTheme="minorEastAsia" w:hAnsi="Cambria Math"/>
                        <w:sz w:val="24"/>
                        <w:szCs w:val="24"/>
                        <w:lang w:val="es-CL"/>
                      </w:rPr>
                      <m:t>t</m:t>
                    </m:r>
                  </m:sub>
                </m:sSub>
              </m:e>
              <m:e>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E</m:t>
                    </m:r>
                  </m:e>
                  <m:sub>
                    <m:r>
                      <w:rPr>
                        <w:rFonts w:ascii="Cambria Math" w:eastAsiaTheme="minorEastAsia" w:hAnsi="Cambria Math"/>
                        <w:sz w:val="24"/>
                        <w:szCs w:val="24"/>
                        <w:lang w:val="es-CL"/>
                      </w:rPr>
                      <m:t>t</m:t>
                    </m:r>
                  </m:sub>
                </m:sSub>
              </m:e>
              <m:e>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t</m:t>
                    </m:r>
                  </m:sub>
                </m:sSub>
              </m:e>
            </m:eqArr>
          </m:e>
        </m:d>
      </m:oMath>
      <w:r w:rsidR="002D11FB" w:rsidRPr="003B6C66">
        <w:rPr>
          <w:rFonts w:eastAsiaTheme="minorEastAsia"/>
          <w:sz w:val="24"/>
          <w:szCs w:val="24"/>
        </w:rPr>
        <w:t xml:space="preserve"> </w:t>
      </w:r>
    </w:p>
    <w:p w14:paraId="086E64E2" w14:textId="13AFB1EB" w:rsidR="00A37EFF" w:rsidRPr="003B6C66" w:rsidRDefault="00A37EFF" w:rsidP="0028611D">
      <w:pPr>
        <w:jc w:val="both"/>
        <w:rPr>
          <w:rFonts w:eastAsiaTheme="minorEastAsia"/>
          <w:sz w:val="24"/>
          <w:szCs w:val="24"/>
        </w:rPr>
      </w:pPr>
      <w:r w:rsidRPr="003B6C66">
        <w:rPr>
          <w:rFonts w:eastAsiaTheme="minorEastAsia"/>
          <w:sz w:val="24"/>
          <w:szCs w:val="24"/>
        </w:rPr>
        <w:t xml:space="preserve">We use as proxies for the variable </w:t>
      </w:r>
      <m:oMath>
        <m:r>
          <w:rPr>
            <w:rFonts w:ascii="Cambria Math" w:eastAsiaTheme="minorEastAsia" w:hAnsi="Cambria Math"/>
            <w:sz w:val="24"/>
            <w:szCs w:val="24"/>
          </w:rPr>
          <m:t>∆</m:t>
        </m:r>
        <m:r>
          <w:rPr>
            <w:rFonts w:ascii="Cambria Math" w:eastAsiaTheme="minorEastAsia" w:hAnsi="Cambria Math"/>
            <w:sz w:val="24"/>
            <w:szCs w:val="24"/>
            <w:lang w:val="es-CL"/>
          </w:rPr>
          <m:t>ln</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P</m:t>
            </m:r>
          </m:e>
          <m:sub>
            <m:r>
              <w:rPr>
                <w:rFonts w:ascii="Cambria Math" w:eastAsiaTheme="minorEastAsia" w:hAnsi="Cambria Math"/>
                <w:sz w:val="24"/>
                <w:szCs w:val="24"/>
                <w:lang w:val="es-CL"/>
              </w:rPr>
              <m:t>t</m:t>
            </m:r>
          </m:sub>
        </m:sSub>
      </m:oMath>
      <w:r w:rsidRPr="003B6C66">
        <w:rPr>
          <w:rFonts w:eastAsiaTheme="minorEastAsia"/>
          <w:sz w:val="24"/>
          <w:szCs w:val="24"/>
        </w:rPr>
        <w:t xml:space="preserve"> inflation in countries that are </w:t>
      </w:r>
      <w:r w:rsidR="007342B1">
        <w:rPr>
          <w:rFonts w:eastAsiaTheme="minorEastAsia"/>
          <w:sz w:val="24"/>
          <w:szCs w:val="24"/>
        </w:rPr>
        <w:t>most</w:t>
      </w:r>
      <w:r w:rsidRPr="003B6C66">
        <w:rPr>
          <w:rFonts w:eastAsiaTheme="minorEastAsia"/>
          <w:sz w:val="24"/>
          <w:szCs w:val="24"/>
        </w:rPr>
        <w:t xml:space="preserve"> important for Chile's trade, that is,</w:t>
      </w:r>
      <w:r w:rsidR="00B91155" w:rsidRPr="003B6C66">
        <w:rPr>
          <w:rFonts w:eastAsiaTheme="minorEastAsia"/>
          <w:sz w:val="24"/>
          <w:szCs w:val="24"/>
        </w:rPr>
        <w:t xml:space="preserve"> </w:t>
      </w:r>
      <w:r w:rsidR="007342B1">
        <w:rPr>
          <w:rFonts w:eastAsiaTheme="minorEastAsia"/>
          <w:sz w:val="24"/>
          <w:szCs w:val="24"/>
        </w:rPr>
        <w:t xml:space="preserve">The </w:t>
      </w:r>
      <w:r w:rsidRPr="003B6C66">
        <w:rPr>
          <w:rFonts w:eastAsiaTheme="minorEastAsia"/>
          <w:sz w:val="24"/>
          <w:szCs w:val="24"/>
        </w:rPr>
        <w:t xml:space="preserve">United States, the European Community and China. Changes in the exchange rate, </w:t>
      </w:r>
      <m:oMath>
        <m:r>
          <w:rPr>
            <w:rFonts w:ascii="Cambria Math" w:eastAsiaTheme="minorEastAsia" w:hAnsi="Cambria Math"/>
            <w:sz w:val="24"/>
            <w:szCs w:val="24"/>
          </w:rPr>
          <m:t>∆</m:t>
        </m:r>
        <m:r>
          <w:rPr>
            <w:rFonts w:ascii="Cambria Math" w:eastAsiaTheme="minorEastAsia" w:hAnsi="Cambria Math"/>
            <w:sz w:val="24"/>
            <w:szCs w:val="24"/>
            <w:lang w:val="es-CL"/>
          </w:rPr>
          <m:t>ln</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E</m:t>
            </m:r>
          </m:e>
          <m:sub>
            <m:r>
              <w:rPr>
                <w:rFonts w:ascii="Cambria Math" w:eastAsiaTheme="minorEastAsia" w:hAnsi="Cambria Math"/>
                <w:sz w:val="24"/>
                <w:szCs w:val="24"/>
                <w:lang w:val="es-CL"/>
              </w:rPr>
              <m:t>t</m:t>
            </m:r>
          </m:sub>
        </m:sSub>
      </m:oMath>
      <w:r w:rsidRPr="003B6C66">
        <w:rPr>
          <w:rFonts w:eastAsiaTheme="minorEastAsia"/>
          <w:sz w:val="24"/>
          <w:szCs w:val="24"/>
        </w:rPr>
        <w:t xml:space="preserve">, are measured monthly in Chile. The variable </w:t>
      </w:r>
      <m:oMath>
        <m:r>
          <w:rPr>
            <w:rFonts w:ascii="Cambria Math" w:eastAsiaTheme="minorEastAsia" w:hAnsi="Cambria Math"/>
            <w:sz w:val="24"/>
            <w:szCs w:val="24"/>
          </w:rPr>
          <m:t>∆</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lnD</m:t>
            </m:r>
          </m:e>
          <m:sub>
            <m:r>
              <w:rPr>
                <w:rFonts w:ascii="Cambria Math" w:eastAsiaTheme="minorEastAsia" w:hAnsi="Cambria Math"/>
                <w:sz w:val="24"/>
                <w:szCs w:val="24"/>
                <w:lang w:val="es-CL"/>
              </w:rPr>
              <m:t>t</m:t>
            </m:r>
          </m:sub>
        </m:sSub>
      </m:oMath>
      <w:r w:rsidR="00981A46" w:rsidRPr="003B6C66">
        <w:rPr>
          <w:rFonts w:eastAsiaTheme="minorEastAsia"/>
          <w:sz w:val="24"/>
          <w:szCs w:val="24"/>
        </w:rPr>
        <w:t xml:space="preserve"> </w:t>
      </w:r>
      <w:r w:rsidRPr="003B6C66">
        <w:rPr>
          <w:rFonts w:eastAsiaTheme="minorEastAsia"/>
          <w:sz w:val="24"/>
          <w:szCs w:val="24"/>
        </w:rPr>
        <w:t xml:space="preserve">is more difficult to measure, we assume that domestic demand grows in normal periods at a stable rate consistent with the long-term growth of the economy except in periods of crisis where domestic demand </w:t>
      </w:r>
      <w:r w:rsidR="00BF2D87">
        <w:rPr>
          <w:rFonts w:eastAsiaTheme="minorEastAsia"/>
          <w:sz w:val="24"/>
          <w:szCs w:val="24"/>
        </w:rPr>
        <w:t>may be</w:t>
      </w:r>
      <w:r w:rsidRPr="003B6C66">
        <w:rPr>
          <w:rFonts w:eastAsiaTheme="minorEastAsia"/>
          <w:sz w:val="24"/>
          <w:szCs w:val="24"/>
        </w:rPr>
        <w:t xml:space="preserve"> massively</w:t>
      </w:r>
      <w:r w:rsidR="006D3D51" w:rsidRPr="003B6C66">
        <w:rPr>
          <w:rFonts w:eastAsiaTheme="minorEastAsia"/>
          <w:sz w:val="24"/>
          <w:szCs w:val="24"/>
        </w:rPr>
        <w:t xml:space="preserve"> affected by exceptional fiscal policies such as unusual increases or reductions in social subsidies or other policies such as the withdrawal of savings held by the population in retirement </w:t>
      </w:r>
      <w:r w:rsidR="006D3D51" w:rsidRPr="003B6C66">
        <w:rPr>
          <w:rFonts w:eastAsiaTheme="minorEastAsia"/>
          <w:sz w:val="24"/>
          <w:szCs w:val="24"/>
        </w:rPr>
        <w:lastRenderedPageBreak/>
        <w:t>funds in the AFPs or in unemployment funds, and others. Thus, for the purposes of its econometric estimation, equation (2) is adjusted as follows,</w:t>
      </w:r>
    </w:p>
    <w:p w14:paraId="1B206F00" w14:textId="1D35D7AE" w:rsidR="00690C59" w:rsidRPr="003B6C66" w:rsidRDefault="005C6A75" w:rsidP="0028611D">
      <w:pPr>
        <w:jc w:val="both"/>
        <w:rPr>
          <w:rFonts w:eastAsiaTheme="minorEastAsia"/>
          <w:sz w:val="24"/>
          <w:szCs w:val="24"/>
        </w:rPr>
      </w:pPr>
      <w:r w:rsidRPr="003B6C66">
        <w:rPr>
          <w:rFonts w:eastAsiaTheme="minorEastAsia"/>
          <w:sz w:val="24"/>
          <w:szCs w:val="24"/>
        </w:rPr>
        <w:t xml:space="preserve">        </w:t>
      </w:r>
      <m:oMath>
        <m:r>
          <w:rPr>
            <w:rFonts w:ascii="Cambria Math" w:eastAsiaTheme="minorEastAsia" w:hAnsi="Cambria Math"/>
            <w:sz w:val="24"/>
            <w:szCs w:val="24"/>
          </w:rPr>
          <m:t>∆</m:t>
        </m:r>
        <m:r>
          <w:rPr>
            <w:rFonts w:ascii="Cambria Math" w:eastAsiaTheme="minorEastAsia" w:hAnsi="Cambria Math"/>
            <w:sz w:val="24"/>
            <w:szCs w:val="24"/>
            <w:lang w:val="es-CL"/>
          </w:rPr>
          <m:t>ln</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p</m:t>
            </m:r>
          </m:e>
          <m:sub>
            <m:r>
              <w:rPr>
                <w:rFonts w:ascii="Cambria Math" w:eastAsiaTheme="minorEastAsia" w:hAnsi="Cambria Math"/>
                <w:sz w:val="24"/>
                <w:szCs w:val="24"/>
                <w:lang w:val="es-CL"/>
              </w:rPr>
              <m:t>t</m:t>
            </m:r>
          </m:sub>
        </m:sSub>
        <m:r>
          <w:rPr>
            <w:rFonts w:ascii="Cambria Math" w:eastAsiaTheme="minorEastAsia" w:hAnsi="Cambria Math"/>
            <w:sz w:val="24"/>
            <w:szCs w:val="24"/>
          </w:rPr>
          <m:t>=</m:t>
        </m:r>
        <w:bookmarkStart w:id="2" w:name="_Hlk95572465"/>
        <w:bookmarkStart w:id="3" w:name="_Hlk98146091"/>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γ</m:t>
            </m:r>
          </m:e>
          <m:sub>
            <m:r>
              <w:rPr>
                <w:rFonts w:ascii="Cambria Math" w:eastAsiaTheme="minorEastAsia" w:hAnsi="Cambria Math"/>
                <w:sz w:val="24"/>
                <w:szCs w:val="24"/>
              </w:rPr>
              <m:t>0</m:t>
            </m:r>
          </m:sub>
        </m:sSub>
        <w:bookmarkEnd w:id="2"/>
        <m:r>
          <w:rPr>
            <w:rFonts w:ascii="Cambria Math" w:eastAsiaTheme="minorEastAsia" w:hAnsi="Cambria Math"/>
            <w:sz w:val="24"/>
            <w:szCs w:val="24"/>
          </w:rPr>
          <m:t>+</m:t>
        </m:r>
        <m:nary>
          <m:naryPr>
            <m:chr m:val="∑"/>
            <m:limLoc m:val="undOvr"/>
            <m:ctrlPr>
              <w:rPr>
                <w:rFonts w:ascii="Cambria Math" w:eastAsiaTheme="minorEastAsia" w:hAnsi="Cambria Math"/>
                <w:i/>
                <w:sz w:val="24"/>
                <w:szCs w:val="24"/>
                <w:lang w:val="es-CL"/>
              </w:rPr>
            </m:ctrlPr>
          </m:naryPr>
          <m:sub>
            <m:r>
              <w:rPr>
                <w:rFonts w:ascii="Cambria Math" w:eastAsiaTheme="minorEastAsia" w:hAnsi="Cambria Math"/>
                <w:sz w:val="24"/>
                <w:szCs w:val="24"/>
              </w:rPr>
              <m:t>1</m:t>
            </m:r>
          </m:sub>
          <m:sup>
            <m:r>
              <w:rPr>
                <w:rFonts w:ascii="Cambria Math" w:eastAsiaTheme="minorEastAsia" w:hAnsi="Cambria Math"/>
                <w:sz w:val="24"/>
                <w:szCs w:val="24"/>
                <w:lang w:val="es-CL"/>
              </w:rPr>
              <m:t>n</m:t>
            </m:r>
          </m:sup>
          <m:e>
            <w:bookmarkStart w:id="4" w:name="_Hlk95572484"/>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γ</m:t>
                </m:r>
              </m:e>
              <m:sub>
                <m:r>
                  <w:rPr>
                    <w:rFonts w:ascii="Cambria Math" w:eastAsiaTheme="minorEastAsia" w:hAnsi="Cambria Math"/>
                    <w:sz w:val="24"/>
                    <w:szCs w:val="24"/>
                    <w:lang w:val="es-CL"/>
                  </w:rPr>
                  <m:t>i</m:t>
                </m:r>
              </m:sub>
            </m:sSub>
            <w:bookmarkEnd w:id="4"/>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i</m:t>
                </m:r>
              </m:sub>
            </m:sSub>
          </m:e>
        </m:nary>
        <w:bookmarkEnd w:id="3"/>
        <m:r>
          <w:rPr>
            <w:rFonts w:ascii="Cambria Math" w:eastAsiaTheme="minorEastAsia" w:hAnsi="Cambria Math"/>
            <w:sz w:val="24"/>
            <w:szCs w:val="24"/>
          </w:rPr>
          <m:t xml:space="preserve">+ </m:t>
        </m:r>
        <m:r>
          <w:rPr>
            <w:rFonts w:ascii="Cambria Math" w:eastAsiaTheme="minorEastAsia" w:hAnsi="Cambria Math"/>
            <w:sz w:val="24"/>
            <w:szCs w:val="24"/>
            <w:lang w:val="es-CL"/>
          </w:rPr>
          <m:t>α</m:t>
        </m:r>
        <m:r>
          <w:rPr>
            <w:rFonts w:ascii="Cambria Math" w:eastAsiaTheme="minorEastAsia" w:hAnsi="Cambria Math"/>
            <w:sz w:val="24"/>
            <w:szCs w:val="24"/>
          </w:rPr>
          <m:t>∆</m:t>
        </m:r>
        <m:r>
          <w:rPr>
            <w:rFonts w:ascii="Cambria Math" w:eastAsiaTheme="minorEastAsia" w:hAnsi="Cambria Math"/>
            <w:sz w:val="24"/>
            <w:szCs w:val="24"/>
            <w:lang w:val="es-CL"/>
          </w:rPr>
          <m:t>ln</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P</m:t>
            </m:r>
          </m:e>
          <m:sub>
            <m:r>
              <w:rPr>
                <w:rFonts w:ascii="Cambria Math" w:eastAsiaTheme="minorEastAsia" w:hAnsi="Cambria Math"/>
                <w:sz w:val="24"/>
                <w:szCs w:val="24"/>
                <w:lang w:val="es-CL"/>
              </w:rPr>
              <m:t>t</m:t>
            </m:r>
          </m:sub>
        </m:sSub>
        <m:r>
          <w:rPr>
            <w:rFonts w:ascii="Cambria Math" w:eastAsiaTheme="minorEastAsia" w:hAnsi="Cambria Math"/>
            <w:sz w:val="24"/>
            <w:szCs w:val="24"/>
          </w:rPr>
          <m:t>+</m:t>
        </m:r>
        <m:r>
          <w:rPr>
            <w:rFonts w:ascii="Cambria Math" w:eastAsiaTheme="minorEastAsia" w:hAnsi="Cambria Math"/>
            <w:sz w:val="24"/>
            <w:szCs w:val="24"/>
            <w:lang w:val="es-CL"/>
          </w:rPr>
          <m:t>β</m:t>
        </m:r>
        <m:r>
          <w:rPr>
            <w:rFonts w:ascii="Cambria Math" w:eastAsiaTheme="minorEastAsia" w:hAnsi="Cambria Math"/>
            <w:sz w:val="24"/>
            <w:szCs w:val="24"/>
          </w:rPr>
          <m:t>∆</m:t>
        </m:r>
        <m:r>
          <w:rPr>
            <w:rFonts w:ascii="Cambria Math" w:eastAsiaTheme="minorEastAsia" w:hAnsi="Cambria Math"/>
            <w:sz w:val="24"/>
            <w:szCs w:val="24"/>
            <w:lang w:val="es-CL"/>
          </w:rPr>
          <m:t>ln</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E</m:t>
            </m:r>
          </m:e>
          <m:sub>
            <m:r>
              <w:rPr>
                <w:rFonts w:ascii="Cambria Math" w:eastAsiaTheme="minorEastAsia" w:hAnsi="Cambria Math"/>
                <w:sz w:val="24"/>
                <w:szCs w:val="24"/>
                <w:lang w:val="es-CL"/>
              </w:rPr>
              <m:t>t</m:t>
            </m:r>
          </m:sub>
        </m:sSub>
        <m:r>
          <w:rPr>
            <w:rFonts w:ascii="Cambria Math" w:eastAsiaTheme="minorEastAsia" w:hAnsi="Cambria Math"/>
            <w:sz w:val="24"/>
            <w:szCs w:val="24"/>
          </w:rPr>
          <m:t>+∆</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μ</m:t>
            </m:r>
          </m:e>
          <m:sub>
            <m:r>
              <w:rPr>
                <w:rFonts w:ascii="Cambria Math" w:eastAsiaTheme="minorEastAsia" w:hAnsi="Cambria Math"/>
                <w:sz w:val="24"/>
                <w:szCs w:val="24"/>
                <w:lang w:val="es-CL"/>
              </w:rPr>
              <m:t>t</m:t>
            </m:r>
          </m:sub>
        </m:sSub>
      </m:oMath>
      <w:r w:rsidR="001E0D15" w:rsidRPr="003B6C66">
        <w:rPr>
          <w:rFonts w:eastAsiaTheme="minorEastAsia"/>
          <w:sz w:val="24"/>
          <w:szCs w:val="24"/>
        </w:rPr>
        <w:t xml:space="preserve">                (3)</w:t>
      </w:r>
    </w:p>
    <w:p w14:paraId="60BEC616" w14:textId="70309531" w:rsidR="00F236B1" w:rsidRPr="00F236B1" w:rsidRDefault="004C2A51" w:rsidP="00F236B1">
      <w:pPr>
        <w:pStyle w:val="Textonotapie"/>
        <w:jc w:val="both"/>
        <w:rPr>
          <w:rFonts w:cstheme="minorHAnsi"/>
          <w:sz w:val="24"/>
          <w:szCs w:val="24"/>
        </w:rPr>
      </w:pPr>
      <w:r w:rsidRPr="003B6C66">
        <w:rPr>
          <w:rFonts w:eastAsiaTheme="minorEastAsia"/>
          <w:sz w:val="24"/>
          <w:szCs w:val="24"/>
        </w:rPr>
        <w:t>Where</w:t>
      </w:r>
      <w:r w:rsidRPr="003B6C66">
        <w:rPr>
          <w:rFonts w:ascii="Cambria Math" w:eastAsia="Cambria Math" w:hAnsi="Cambria Math" w:cs="Cambria Math" w:hint="eastAsia"/>
          <w:sz w:val="24"/>
          <w:szCs w:val="24"/>
        </w:rPr>
        <w:t xml:space="preserve">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rPr>
              <m:t xml:space="preserve"> </m:t>
            </m:r>
            <m:r>
              <w:rPr>
                <w:rFonts w:ascii="Cambria Math" w:eastAsiaTheme="minorEastAsia" w:hAnsi="Cambria Math"/>
                <w:sz w:val="24"/>
                <w:szCs w:val="24"/>
                <w:lang w:val="es-CL"/>
              </w:rPr>
              <m:t>d</m:t>
            </m:r>
          </m:e>
          <m:sub>
            <m:r>
              <w:rPr>
                <w:rFonts w:ascii="Cambria Math" w:eastAsiaTheme="minorEastAsia" w:hAnsi="Cambria Math"/>
                <w:sz w:val="24"/>
                <w:szCs w:val="24"/>
                <w:lang w:val="es-CL"/>
              </w:rPr>
              <m:t>i</m:t>
            </m:r>
          </m:sub>
        </m:sSub>
        <m:d>
          <m:dPr>
            <m:ctrlPr>
              <w:rPr>
                <w:rFonts w:ascii="Cambria Math" w:eastAsiaTheme="minorEastAsia" w:hAnsi="Cambria Math"/>
                <w:i/>
                <w:sz w:val="24"/>
                <w:szCs w:val="24"/>
                <w:lang w:val="es-CL"/>
              </w:rPr>
            </m:ctrlPr>
          </m:dPr>
          <m:e>
            <m:r>
              <w:rPr>
                <w:rFonts w:ascii="Cambria Math" w:eastAsiaTheme="minorEastAsia" w:hAnsi="Cambria Math"/>
                <w:sz w:val="24"/>
                <w:szCs w:val="24"/>
                <w:lang w:val="es-CL"/>
              </w:rPr>
              <m:t>i</m:t>
            </m:r>
            <m:r>
              <w:rPr>
                <w:rFonts w:ascii="Cambria Math" w:eastAsiaTheme="minorEastAsia" w:hAnsi="Cambria Math"/>
                <w:sz w:val="24"/>
                <w:szCs w:val="24"/>
              </w:rPr>
              <m:t>=1,2,…</m:t>
            </m:r>
            <m:r>
              <w:rPr>
                <w:rFonts w:ascii="Cambria Math" w:eastAsiaTheme="minorEastAsia" w:hAnsi="Cambria Math"/>
                <w:sz w:val="24"/>
                <w:szCs w:val="24"/>
                <w:lang w:val="es-CL"/>
              </w:rPr>
              <m:t>n</m:t>
            </m:r>
          </m:e>
        </m:d>
      </m:oMath>
      <w:r w:rsidRPr="003B6C66">
        <w:rPr>
          <w:rFonts w:eastAsiaTheme="minorEastAsia"/>
          <w:sz w:val="24"/>
          <w:szCs w:val="24"/>
        </w:rPr>
        <w:t xml:space="preserve"> are dummy variables with values ​​equal to 1 in period </w:t>
      </w:r>
      <m:oMath>
        <m:r>
          <w:rPr>
            <w:rFonts w:ascii="Cambria Math" w:eastAsiaTheme="minorEastAsia" w:hAnsi="Cambria Math"/>
            <w:sz w:val="24"/>
            <w:szCs w:val="24"/>
            <w:lang w:val="es-CL"/>
          </w:rPr>
          <m:t>i</m:t>
        </m:r>
      </m:oMath>
      <w:r w:rsidRPr="003B6C66">
        <w:rPr>
          <w:rFonts w:eastAsiaTheme="minorEastAsia"/>
          <w:sz w:val="24"/>
          <w:szCs w:val="24"/>
        </w:rPr>
        <w:t xml:space="preserve"> and equal to zero in periods </w:t>
      </w:r>
      <m:oMath>
        <m:r>
          <w:rPr>
            <w:rFonts w:ascii="Cambria Math" w:eastAsiaTheme="minorEastAsia" w:hAnsi="Cambria Math"/>
            <w:sz w:val="24"/>
            <w:szCs w:val="24"/>
            <w:lang w:val="es-CL"/>
          </w:rPr>
          <m:t>j</m:t>
        </m:r>
        <m:r>
          <w:rPr>
            <w:rFonts w:ascii="Cambria Math" w:eastAsiaTheme="minorEastAsia" w:hAnsi="Cambria Math"/>
            <w:sz w:val="24"/>
            <w:szCs w:val="24"/>
          </w:rPr>
          <m:t>≠</m:t>
        </m:r>
        <m:r>
          <w:rPr>
            <w:rFonts w:ascii="Cambria Math" w:eastAsiaTheme="minorEastAsia" w:hAnsi="Cambria Math"/>
            <w:sz w:val="24"/>
            <w:szCs w:val="24"/>
            <w:lang w:val="es-CL"/>
          </w:rPr>
          <m:t>i</m:t>
        </m:r>
      </m:oMath>
      <w:r w:rsidRPr="003B6C66">
        <w:rPr>
          <w:rFonts w:eastAsiaTheme="minorEastAsia"/>
          <w:sz w:val="24"/>
          <w:szCs w:val="24"/>
        </w:rPr>
        <w:t xml:space="preserve">. The effect of changes in demand on inflation, </w:t>
      </w:r>
      <m:oMath>
        <m:r>
          <w:rPr>
            <w:rFonts w:ascii="Cambria Math" w:eastAsiaTheme="minorEastAsia" w:hAnsi="Cambria Math"/>
            <w:sz w:val="24"/>
            <w:szCs w:val="24"/>
            <w:lang w:val="es-CL"/>
          </w:rPr>
          <m:t>γ</m:t>
        </m:r>
        <m:r>
          <w:rPr>
            <w:rFonts w:ascii="Cambria Math" w:eastAsiaTheme="minorEastAsia" w:hAnsi="Cambria Math"/>
            <w:sz w:val="24"/>
            <w:szCs w:val="24"/>
          </w:rPr>
          <m:t>∆</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lnD</m:t>
            </m:r>
          </m:e>
          <m:sub>
            <m:r>
              <w:rPr>
                <w:rFonts w:ascii="Cambria Math" w:eastAsiaTheme="minorEastAsia" w:hAnsi="Cambria Math"/>
                <w:sz w:val="24"/>
                <w:szCs w:val="24"/>
                <w:lang w:val="es-CL"/>
              </w:rPr>
              <m:t>t</m:t>
            </m:r>
          </m:sub>
        </m:sSub>
      </m:oMath>
      <w:r w:rsidRPr="003B6C66">
        <w:rPr>
          <w:rFonts w:eastAsiaTheme="minorEastAsia"/>
          <w:sz w:val="24"/>
          <w:szCs w:val="24"/>
        </w:rPr>
        <w:t xml:space="preserve">, can be decomposed into an effect corresponding to periods of stability where demand increases at a stable rate,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γ</m:t>
            </m:r>
          </m:e>
          <m:sub>
            <m:r>
              <w:rPr>
                <w:rFonts w:ascii="Cambria Math" w:eastAsiaTheme="minorEastAsia" w:hAnsi="Cambria Math"/>
                <w:sz w:val="24"/>
                <w:szCs w:val="24"/>
              </w:rPr>
              <m:t>0</m:t>
            </m:r>
          </m:sub>
        </m:sSub>
      </m:oMath>
      <w:r w:rsidRPr="003B6C66">
        <w:rPr>
          <w:rFonts w:eastAsiaTheme="minorEastAsia"/>
          <w:sz w:val="24"/>
          <w:szCs w:val="24"/>
        </w:rPr>
        <w:t xml:space="preserve">, plus the effect of changes in demand in abnormal periods or critical, where it is affected by emergency fiscal or monetary measures to face particular crises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γ</m:t>
            </m:r>
          </m:e>
          <m:sub>
            <m:r>
              <w:rPr>
                <w:rFonts w:ascii="Cambria Math" w:eastAsiaTheme="minorEastAsia" w:hAnsi="Cambria Math"/>
                <w:sz w:val="24"/>
                <w:szCs w:val="24"/>
                <w:lang w:val="es-CL"/>
              </w:rPr>
              <m:t>i</m:t>
            </m:r>
          </m:sub>
        </m:sSub>
      </m:oMath>
      <w:r w:rsidR="00166C7F" w:rsidRPr="003B6C66">
        <w:rPr>
          <w:rFonts w:eastAsiaTheme="minorEastAsia"/>
          <w:sz w:val="24"/>
          <w:szCs w:val="24"/>
        </w:rPr>
        <w:t xml:space="preserve"> (</w:t>
      </w:r>
      <m:oMath>
        <m:r>
          <w:rPr>
            <w:rFonts w:ascii="Cambria Math" w:eastAsiaTheme="minorEastAsia" w:hAnsi="Cambria Math"/>
            <w:sz w:val="24"/>
            <w:szCs w:val="24"/>
            <w:lang w:val="es-CL"/>
          </w:rPr>
          <m:t>i</m:t>
        </m:r>
        <m:r>
          <w:rPr>
            <w:rFonts w:ascii="Cambria Math" w:eastAsiaTheme="minorEastAsia" w:hAnsi="Cambria Math"/>
            <w:sz w:val="24"/>
            <w:szCs w:val="24"/>
          </w:rPr>
          <m:t>=1, 2…</m:t>
        </m:r>
        <m:r>
          <w:rPr>
            <w:rFonts w:ascii="Cambria Math" w:eastAsiaTheme="minorEastAsia" w:hAnsi="Cambria Math"/>
            <w:sz w:val="24"/>
            <w:szCs w:val="24"/>
            <w:lang w:val="es-CL"/>
          </w:rPr>
          <m:t>n</m:t>
        </m:r>
        <m:r>
          <w:rPr>
            <w:rFonts w:ascii="Cambria Math" w:eastAsiaTheme="minorEastAsia" w:hAnsi="Cambria Math"/>
            <w:sz w:val="24"/>
            <w:szCs w:val="24"/>
          </w:rPr>
          <m:t>)</m:t>
        </m:r>
      </m:oMath>
      <w:r w:rsidR="00166C7F" w:rsidRPr="003B6C66">
        <w:rPr>
          <w:rFonts w:eastAsiaTheme="minorEastAsia"/>
          <w:sz w:val="24"/>
          <w:szCs w:val="24"/>
        </w:rPr>
        <w:t xml:space="preserve">, </w:t>
      </w:r>
      <w:r w:rsidRPr="003B6C66">
        <w:rPr>
          <w:rFonts w:eastAsiaTheme="minorEastAsia"/>
          <w:sz w:val="24"/>
          <w:szCs w:val="24"/>
        </w:rPr>
        <w:t xml:space="preserve">where </w:t>
      </w:r>
      <m:oMath>
        <m:r>
          <w:rPr>
            <w:rFonts w:ascii="Cambria Math" w:eastAsiaTheme="minorEastAsia" w:hAnsi="Cambria Math"/>
            <w:sz w:val="24"/>
            <w:szCs w:val="24"/>
            <w:lang w:val="es-CL"/>
          </w:rPr>
          <m:t>n</m:t>
        </m:r>
      </m:oMath>
      <w:r w:rsidRPr="003B6C66">
        <w:rPr>
          <w:rFonts w:eastAsiaTheme="minorEastAsia"/>
          <w:sz w:val="24"/>
          <w:szCs w:val="24"/>
        </w:rPr>
        <w:t xml:space="preserve"> abnormal periods are considered. </w:t>
      </w:r>
      <w:r w:rsidR="0002169B" w:rsidRPr="003B6C66">
        <w:rPr>
          <w:rFonts w:eastAsiaTheme="minorEastAsia"/>
          <w:sz w:val="24"/>
          <w:szCs w:val="24"/>
        </w:rPr>
        <w:t>Therefore</w:t>
      </w:r>
      <w:r w:rsidRPr="003B6C66">
        <w:rPr>
          <w:rFonts w:eastAsiaTheme="minorEastAsia"/>
          <w:sz w:val="24"/>
          <w:szCs w:val="24"/>
        </w:rPr>
        <w:t xml:space="preserve">, the effect of changes in demand on inflation </w:t>
      </w:r>
      <w:r w:rsidR="00F236B1">
        <w:rPr>
          <w:rFonts w:eastAsiaTheme="minorEastAsia"/>
          <w:sz w:val="24"/>
          <w:szCs w:val="24"/>
        </w:rPr>
        <w:t xml:space="preserve">in period </w:t>
      </w:r>
      <m:oMath>
        <m:r>
          <w:rPr>
            <w:rFonts w:ascii="Cambria Math" w:eastAsiaTheme="minorEastAsia" w:hAnsi="Cambria Math"/>
            <w:sz w:val="24"/>
            <w:szCs w:val="24"/>
          </w:rPr>
          <m:t xml:space="preserve">i </m:t>
        </m:r>
      </m:oMath>
      <w:r w:rsidRPr="003B6C66">
        <w:rPr>
          <w:rFonts w:eastAsiaTheme="minorEastAsia"/>
          <w:sz w:val="24"/>
          <w:szCs w:val="24"/>
        </w:rPr>
        <w:t xml:space="preserve">is equal to </w:t>
      </w:r>
      <w:r w:rsidR="001D4EEC" w:rsidRPr="003B6C66">
        <w:rPr>
          <w:rFonts w:eastAsiaTheme="minorEastAsia"/>
          <w:sz w:val="24"/>
          <w:szCs w:val="24"/>
        </w:rPr>
        <w:t xml:space="preserve">  </w:t>
      </w:r>
      <m:oMath>
        <m:r>
          <w:rPr>
            <w:rFonts w:ascii="Cambria Math" w:eastAsiaTheme="minorEastAsia" w:hAnsi="Cambria Math"/>
            <w:sz w:val="24"/>
            <w:szCs w:val="24"/>
            <w:lang w:val="es-CL"/>
          </w:rPr>
          <m:t>γ</m:t>
        </m:r>
        <m:r>
          <w:rPr>
            <w:rFonts w:ascii="Cambria Math" w:eastAsiaTheme="minorEastAsia" w:hAnsi="Cambria Math"/>
            <w:sz w:val="24"/>
            <w:szCs w:val="24"/>
          </w:rPr>
          <m:t>∆</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lnD</m:t>
            </m:r>
          </m:e>
          <m:sub>
            <m:r>
              <w:rPr>
                <w:rFonts w:ascii="Cambria Math" w:eastAsiaTheme="minorEastAsia" w:hAnsi="Cambria Math"/>
                <w:sz w:val="24"/>
                <w:szCs w:val="24"/>
                <w:lang w:val="es-CL"/>
              </w:rPr>
              <m:t>t</m:t>
            </m:r>
          </m:sub>
        </m:sSub>
        <m:r>
          <w:rPr>
            <w:rFonts w:ascii="Cambria Math" w:eastAsiaTheme="minorEastAsia" w:hAnsi="Cambria Math"/>
            <w:sz w:val="24"/>
            <w:szCs w:val="24"/>
          </w:rPr>
          <m:t>=</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γ</m:t>
            </m:r>
          </m:e>
          <m:sub>
            <m:r>
              <w:rPr>
                <w:rFonts w:ascii="Cambria Math" w:eastAsiaTheme="minorEastAsia" w:hAnsi="Cambria Math"/>
                <w:sz w:val="24"/>
                <w:szCs w:val="24"/>
              </w:rPr>
              <m:t>0</m:t>
            </m:r>
          </m:sub>
        </m:sSub>
        <m:r>
          <w:rPr>
            <w:rFonts w:ascii="Cambria Math" w:eastAsiaTheme="minorEastAsia" w:hAnsi="Cambria Math"/>
            <w:sz w:val="24"/>
            <w:szCs w:val="24"/>
          </w:rPr>
          <m:t>+</m:t>
        </m:r>
        <m:nary>
          <m:naryPr>
            <m:chr m:val="∑"/>
            <m:limLoc m:val="undOvr"/>
            <m:ctrlPr>
              <w:rPr>
                <w:rFonts w:ascii="Cambria Math" w:eastAsiaTheme="minorEastAsia" w:hAnsi="Cambria Math"/>
                <w:i/>
                <w:sz w:val="24"/>
                <w:szCs w:val="24"/>
                <w:lang w:val="es-CL"/>
              </w:rPr>
            </m:ctrlPr>
          </m:naryPr>
          <m:sub>
            <m:r>
              <w:rPr>
                <w:rFonts w:ascii="Cambria Math" w:eastAsiaTheme="minorEastAsia" w:hAnsi="Cambria Math"/>
                <w:sz w:val="24"/>
                <w:szCs w:val="24"/>
              </w:rPr>
              <m:t>1</m:t>
            </m:r>
          </m:sub>
          <m:sup>
            <m:r>
              <w:rPr>
                <w:rFonts w:ascii="Cambria Math" w:eastAsiaTheme="minorEastAsia" w:hAnsi="Cambria Math"/>
                <w:sz w:val="24"/>
                <w:szCs w:val="24"/>
                <w:lang w:val="es-CL"/>
              </w:rPr>
              <m:t>n</m:t>
            </m:r>
          </m:sup>
          <m:e>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γ</m:t>
                </m:r>
              </m:e>
              <m:sub>
                <m:r>
                  <w:rPr>
                    <w:rFonts w:ascii="Cambria Math" w:eastAsiaTheme="minorEastAsia" w:hAnsi="Cambria Math"/>
                    <w:sz w:val="24"/>
                    <w:szCs w:val="24"/>
                    <w:lang w:val="es-CL"/>
                  </w:rPr>
                  <m:t>i</m:t>
                </m:r>
              </m:sub>
            </m:sSub>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i</m:t>
                </m:r>
              </m:sub>
            </m:sSub>
          </m:e>
        </m:nary>
      </m:oMath>
      <w:r w:rsidR="001D4EEC" w:rsidRPr="003B6C66">
        <w:rPr>
          <w:rFonts w:eastAsiaTheme="minorEastAsia"/>
          <w:sz w:val="24"/>
          <w:szCs w:val="24"/>
        </w:rPr>
        <w:t>.</w:t>
      </w:r>
      <w:r w:rsidR="00F236B1">
        <w:rPr>
          <w:rFonts w:eastAsiaTheme="minorEastAsia"/>
          <w:sz w:val="24"/>
          <w:szCs w:val="24"/>
        </w:rPr>
        <w:t xml:space="preserve"> We also consider an alternative specification for the demand factors, using </w:t>
      </w:r>
      <w:r w:rsidR="00F236B1" w:rsidRPr="00F236B1">
        <w:rPr>
          <w:rFonts w:cstheme="minorHAnsi"/>
          <w:sz w:val="24"/>
          <w:szCs w:val="24"/>
        </w:rPr>
        <w:t xml:space="preserve">a continuous proxy indicator of monthly demand assuming that it changes proportionally with the index of economic activity (IMACEC). That is, we assume that </w:t>
      </w:r>
      <m:oMath>
        <m:r>
          <w:rPr>
            <w:rFonts w:ascii="Cambria Math" w:eastAsiaTheme="minorEastAsia" w:hAnsi="Cambria Math" w:cstheme="minorHAnsi"/>
            <w:sz w:val="24"/>
            <w:szCs w:val="24"/>
          </w:rPr>
          <m:t>∆</m:t>
        </m:r>
        <m:sSub>
          <m:sSubPr>
            <m:ctrlPr>
              <w:rPr>
                <w:rFonts w:ascii="Cambria Math" w:eastAsiaTheme="minorEastAsia" w:hAnsi="Cambria Math" w:cstheme="minorHAnsi"/>
                <w:i/>
                <w:sz w:val="24"/>
                <w:szCs w:val="24"/>
                <w:lang w:val="es-CL"/>
              </w:rPr>
            </m:ctrlPr>
          </m:sSubPr>
          <m:e>
            <m:r>
              <w:rPr>
                <w:rFonts w:ascii="Cambria Math" w:eastAsiaTheme="minorEastAsia" w:hAnsi="Cambria Math" w:cstheme="minorHAnsi"/>
                <w:sz w:val="24"/>
                <w:szCs w:val="24"/>
                <w:lang w:val="es-CL"/>
              </w:rPr>
              <m:t>lnD</m:t>
            </m:r>
          </m:e>
          <m:sub>
            <m:r>
              <w:rPr>
                <w:rFonts w:ascii="Cambria Math" w:eastAsiaTheme="minorEastAsia" w:hAnsi="Cambria Math" w:cstheme="minorHAnsi"/>
                <w:sz w:val="24"/>
                <w:szCs w:val="24"/>
                <w:lang w:val="es-CL"/>
              </w:rPr>
              <m:t>t</m:t>
            </m:r>
          </m:sub>
        </m:sSub>
      </m:oMath>
      <w:r w:rsidR="00F236B1" w:rsidRPr="00F236B1">
        <w:rPr>
          <w:rFonts w:eastAsiaTheme="minorEastAsia" w:cstheme="minorHAnsi"/>
          <w:sz w:val="24"/>
          <w:szCs w:val="24"/>
        </w:rPr>
        <w:t xml:space="preserve"> </w:t>
      </w:r>
      <w:r w:rsidR="00F236B1" w:rsidRPr="00F236B1">
        <w:rPr>
          <w:rFonts w:cstheme="minorHAnsi"/>
          <w:sz w:val="24"/>
          <w:szCs w:val="24"/>
        </w:rPr>
        <w:t xml:space="preserve">is positively correlated with </w:t>
      </w:r>
      <m:oMath>
        <m:r>
          <w:rPr>
            <w:rFonts w:ascii="Cambria Math" w:eastAsiaTheme="minorEastAsia" w:hAnsi="Cambria Math" w:cstheme="minorHAnsi"/>
            <w:sz w:val="24"/>
            <w:szCs w:val="24"/>
          </w:rPr>
          <m:t>∆</m:t>
        </m:r>
        <m:r>
          <w:rPr>
            <w:rFonts w:ascii="Cambria Math" w:eastAsiaTheme="minorEastAsia" w:hAnsi="Cambria Math" w:cstheme="minorHAnsi"/>
            <w:sz w:val="24"/>
            <w:szCs w:val="24"/>
            <w:lang w:val="es-CL"/>
          </w:rPr>
          <m:t>IMACEC</m:t>
        </m:r>
      </m:oMath>
      <w:r w:rsidR="00F236B1" w:rsidRPr="00F236B1">
        <w:rPr>
          <w:rFonts w:eastAsiaTheme="minorEastAsia" w:cstheme="minorHAnsi"/>
          <w:sz w:val="24"/>
          <w:szCs w:val="24"/>
        </w:rPr>
        <w:t xml:space="preserve"> </w:t>
      </w:r>
      <w:r w:rsidR="00666593">
        <w:rPr>
          <w:rFonts w:eastAsiaTheme="minorEastAsia" w:cstheme="minorHAnsi"/>
          <w:sz w:val="24"/>
          <w:szCs w:val="24"/>
        </w:rPr>
        <w:t xml:space="preserve">(the result using this specification is reported in the appendix). </w:t>
      </w:r>
    </w:p>
    <w:p w14:paraId="13D54210" w14:textId="77777777" w:rsidR="00666593" w:rsidRDefault="00666593" w:rsidP="0028611D">
      <w:pPr>
        <w:jc w:val="both"/>
        <w:rPr>
          <w:rFonts w:eastAsiaTheme="minorEastAsia"/>
          <w:sz w:val="24"/>
          <w:szCs w:val="24"/>
        </w:rPr>
      </w:pPr>
    </w:p>
    <w:p w14:paraId="58CFF4F8" w14:textId="12D86CDE" w:rsidR="006C5863" w:rsidRPr="003B6C66" w:rsidRDefault="006C5863" w:rsidP="0028611D">
      <w:pPr>
        <w:jc w:val="both"/>
        <w:rPr>
          <w:rFonts w:eastAsiaTheme="minorEastAsia"/>
          <w:sz w:val="24"/>
          <w:szCs w:val="24"/>
        </w:rPr>
      </w:pPr>
      <w:r w:rsidRPr="003B6C66">
        <w:rPr>
          <w:rFonts w:eastAsiaTheme="minorEastAsia"/>
          <w:sz w:val="24"/>
          <w:szCs w:val="24"/>
        </w:rPr>
        <w:t>Equation (3) is also augmented using past values ​​of the dependent variable on the right-hand side to capture possible lagged effects of the variables on inflation. This makes it possible to obtain measures of the short- and medium-term effects of the independent variables on the level of inflation.</w:t>
      </w:r>
    </w:p>
    <w:p w14:paraId="1EBEE670" w14:textId="4E6C07EA" w:rsidR="00400487" w:rsidRPr="003B6C66" w:rsidRDefault="00400487" w:rsidP="0028611D">
      <w:pPr>
        <w:jc w:val="both"/>
        <w:rPr>
          <w:rFonts w:eastAsiaTheme="minorEastAsia"/>
          <w:i/>
          <w:iCs/>
          <w:sz w:val="24"/>
          <w:szCs w:val="24"/>
        </w:rPr>
      </w:pPr>
      <w:r w:rsidRPr="003B6C66">
        <w:rPr>
          <w:rFonts w:eastAsiaTheme="minorEastAsia"/>
          <w:i/>
          <w:iCs/>
          <w:sz w:val="24"/>
          <w:szCs w:val="24"/>
        </w:rPr>
        <w:t xml:space="preserve">Estimation methods. </w:t>
      </w:r>
      <w:r w:rsidRPr="003B6C66">
        <w:rPr>
          <w:rFonts w:eastAsiaTheme="minorEastAsia"/>
          <w:sz w:val="24"/>
          <w:szCs w:val="24"/>
        </w:rPr>
        <w:t>The estimation of equation (3) can be affected by simultaneity bias. Two methods of estimati</w:t>
      </w:r>
      <w:r w:rsidR="001211F3" w:rsidRPr="003B6C66">
        <w:rPr>
          <w:rFonts w:eastAsiaTheme="minorEastAsia"/>
          <w:sz w:val="24"/>
          <w:szCs w:val="24"/>
        </w:rPr>
        <w:t>on of</w:t>
      </w:r>
      <w:r w:rsidRPr="003B6C66">
        <w:rPr>
          <w:rFonts w:eastAsiaTheme="minorEastAsia"/>
          <w:sz w:val="24"/>
          <w:szCs w:val="24"/>
        </w:rPr>
        <w:t xml:space="preserve"> the expanded equation (3) are used alternatively: Two Stage Least Squares (TSLS) using instrumental variables for the exchange rate in order to avoid simultaneity bias</w:t>
      </w:r>
      <w:r w:rsidR="00666593">
        <w:rPr>
          <w:rFonts w:eastAsiaTheme="minorEastAsia"/>
          <w:sz w:val="24"/>
          <w:szCs w:val="24"/>
        </w:rPr>
        <w:t>es that may be due to the fact that</w:t>
      </w:r>
      <w:r w:rsidRPr="003B6C66">
        <w:rPr>
          <w:rFonts w:eastAsiaTheme="minorEastAsia"/>
          <w:sz w:val="24"/>
          <w:szCs w:val="24"/>
        </w:rPr>
        <w:t xml:space="preserve"> the exchange rate can be affected by </w:t>
      </w:r>
      <w:r w:rsidR="001211F3" w:rsidRPr="003B6C66">
        <w:rPr>
          <w:rFonts w:eastAsiaTheme="minorEastAsia"/>
          <w:sz w:val="24"/>
          <w:szCs w:val="24"/>
        </w:rPr>
        <w:t xml:space="preserve">domestic </w:t>
      </w:r>
      <w:r w:rsidRPr="003B6C66">
        <w:rPr>
          <w:rFonts w:eastAsiaTheme="minorEastAsia"/>
          <w:sz w:val="24"/>
          <w:szCs w:val="24"/>
        </w:rPr>
        <w:t xml:space="preserve">inflation. We use lagged exchange rate levels as instrumental variables. </w:t>
      </w:r>
      <w:r w:rsidR="00A50C49" w:rsidRPr="003B6C66">
        <w:rPr>
          <w:rFonts w:eastAsiaTheme="minorEastAsia"/>
          <w:sz w:val="24"/>
          <w:szCs w:val="24"/>
        </w:rPr>
        <w:t>In addition to estimates by</w:t>
      </w:r>
      <w:r w:rsidRPr="003B6C66">
        <w:rPr>
          <w:rFonts w:eastAsiaTheme="minorEastAsia"/>
          <w:sz w:val="24"/>
          <w:szCs w:val="24"/>
        </w:rPr>
        <w:t xml:space="preserve"> TSLS, we also use the GMM method which can be considered as a test of the robustness of the TSLS estimated coefficients.</w:t>
      </w:r>
    </w:p>
    <w:p w14:paraId="7AA5414D" w14:textId="2B979815" w:rsidR="001A7038" w:rsidRPr="003B6C66" w:rsidRDefault="001A7038" w:rsidP="00B660FA">
      <w:pPr>
        <w:jc w:val="both"/>
        <w:rPr>
          <w:rFonts w:eastAsiaTheme="minorEastAsia"/>
          <w:sz w:val="24"/>
          <w:szCs w:val="24"/>
        </w:rPr>
      </w:pPr>
      <w:r w:rsidRPr="003B6C66">
        <w:rPr>
          <w:rFonts w:eastAsiaTheme="minorEastAsia"/>
          <w:i/>
          <w:iCs/>
          <w:sz w:val="24"/>
          <w:szCs w:val="24"/>
        </w:rPr>
        <w:t xml:space="preserve">The data. </w:t>
      </w:r>
      <w:r w:rsidRPr="003B6C66">
        <w:rPr>
          <w:rFonts w:eastAsiaTheme="minorEastAsia"/>
          <w:sz w:val="24"/>
          <w:szCs w:val="24"/>
        </w:rPr>
        <w:t xml:space="preserve">The estimation of these equations is implemented using monthly data for the period 2000-2021, years in which there are no important structural changes that affect the determination of the exchange rate, thus satisfying the Taylor requirement for the validity of the PPP in any of </w:t>
      </w:r>
      <w:r w:rsidR="0005798C">
        <w:rPr>
          <w:rFonts w:eastAsiaTheme="minorEastAsia"/>
          <w:sz w:val="24"/>
          <w:szCs w:val="24"/>
        </w:rPr>
        <w:t>its</w:t>
      </w:r>
      <w:r w:rsidRPr="003B6C66">
        <w:rPr>
          <w:rFonts w:eastAsiaTheme="minorEastAsia"/>
          <w:sz w:val="24"/>
          <w:szCs w:val="24"/>
        </w:rPr>
        <w:t xml:space="preserve"> </w:t>
      </w:r>
      <w:r w:rsidR="00E8080E" w:rsidRPr="003B6C66">
        <w:rPr>
          <w:rFonts w:eastAsiaTheme="minorEastAsia"/>
          <w:sz w:val="24"/>
          <w:szCs w:val="24"/>
        </w:rPr>
        <w:t>forms</w:t>
      </w:r>
      <w:r w:rsidRPr="003B6C66">
        <w:rPr>
          <w:rFonts w:eastAsiaTheme="minorEastAsia"/>
          <w:sz w:val="24"/>
          <w:szCs w:val="24"/>
        </w:rPr>
        <w:t>. The data source used are those provided by official institutions.</w:t>
      </w:r>
      <w:r w:rsidR="001601E2" w:rsidRPr="003B6C66">
        <w:rPr>
          <w:rFonts w:eastAsiaTheme="minorEastAsia"/>
          <w:sz w:val="24"/>
          <w:szCs w:val="24"/>
        </w:rPr>
        <w:t xml:space="preserve"> In particular, the inflation data for Chile, the United States, China, and the eurozone were obtained, respectively, from the National Institute of Statistics (INE), the Bureau of Labor Statistics (BLS), the</w:t>
      </w:r>
      <w:r w:rsidR="001601E2" w:rsidRPr="001601E2">
        <w:t xml:space="preserve"> </w:t>
      </w:r>
      <w:r w:rsidR="001601E2" w:rsidRPr="003B6C66">
        <w:rPr>
          <w:rFonts w:eastAsiaTheme="minorEastAsia"/>
          <w:sz w:val="24"/>
          <w:szCs w:val="24"/>
        </w:rPr>
        <w:t>National Bureau of Statistics (NBS) and the European Statistical Office (Eurostat). The data of the nominal exchange rate, the Monetary Policy Rate (TPM) and the</w:t>
      </w:r>
      <w:r w:rsidR="00423EA9" w:rsidRPr="003B6C66">
        <w:rPr>
          <w:rFonts w:eastAsiaTheme="minorEastAsia"/>
          <w:sz w:val="24"/>
          <w:szCs w:val="24"/>
        </w:rPr>
        <w:t xml:space="preserve"> monthly index of economic activity</w:t>
      </w:r>
      <w:r w:rsidR="001601E2" w:rsidRPr="003B6C66">
        <w:rPr>
          <w:rFonts w:eastAsiaTheme="minorEastAsia"/>
          <w:sz w:val="24"/>
          <w:szCs w:val="24"/>
        </w:rPr>
        <w:t xml:space="preserve"> </w:t>
      </w:r>
      <w:r w:rsidR="00423EA9" w:rsidRPr="003B6C66">
        <w:rPr>
          <w:rFonts w:eastAsiaTheme="minorEastAsia"/>
          <w:sz w:val="24"/>
          <w:szCs w:val="24"/>
        </w:rPr>
        <w:t>(</w:t>
      </w:r>
      <w:r w:rsidR="001601E2" w:rsidRPr="003B6C66">
        <w:rPr>
          <w:rFonts w:eastAsiaTheme="minorEastAsia"/>
          <w:sz w:val="24"/>
          <w:szCs w:val="24"/>
        </w:rPr>
        <w:t>IMACEC</w:t>
      </w:r>
      <w:r w:rsidR="00423EA9" w:rsidRPr="003B6C66">
        <w:rPr>
          <w:rFonts w:eastAsiaTheme="minorEastAsia"/>
          <w:sz w:val="24"/>
          <w:szCs w:val="24"/>
        </w:rPr>
        <w:t>)</w:t>
      </w:r>
      <w:r w:rsidR="001601E2" w:rsidRPr="003B6C66">
        <w:rPr>
          <w:rFonts w:eastAsiaTheme="minorEastAsia"/>
          <w:sz w:val="24"/>
          <w:szCs w:val="24"/>
        </w:rPr>
        <w:t xml:space="preserve"> were obtained from the Statistical Database of the Central Bank of Chile.</w:t>
      </w:r>
      <w:r w:rsidR="00B660FA" w:rsidRPr="003B6C66">
        <w:rPr>
          <w:rFonts w:eastAsiaTheme="minorEastAsia"/>
          <w:sz w:val="24"/>
          <w:szCs w:val="24"/>
        </w:rPr>
        <w:t xml:space="preserve"> In the appendix we present the complete descriptive statistics of the data used in the regressions.</w:t>
      </w:r>
    </w:p>
    <w:p w14:paraId="76D7005D" w14:textId="30160F51" w:rsidR="00932F98" w:rsidRPr="003B6C66" w:rsidRDefault="00AE28BB" w:rsidP="0028611D">
      <w:pPr>
        <w:jc w:val="both"/>
        <w:rPr>
          <w:rFonts w:eastAsiaTheme="minorEastAsia"/>
          <w:sz w:val="24"/>
          <w:szCs w:val="24"/>
        </w:rPr>
      </w:pPr>
      <w:r>
        <w:rPr>
          <w:rFonts w:eastAsiaTheme="minorEastAsia"/>
          <w:i/>
          <w:iCs/>
          <w:sz w:val="24"/>
          <w:szCs w:val="24"/>
        </w:rPr>
        <w:t>The natural experiments and the d</w:t>
      </w:r>
      <w:r w:rsidR="00684714" w:rsidRPr="003B6C66">
        <w:rPr>
          <w:rFonts w:eastAsiaTheme="minorEastAsia"/>
          <w:i/>
          <w:iCs/>
          <w:sz w:val="24"/>
          <w:szCs w:val="24"/>
        </w:rPr>
        <w:t>ummy variables</w:t>
      </w:r>
      <w:r w:rsidR="00684714" w:rsidRPr="003B6C66">
        <w:rPr>
          <w:rFonts w:eastAsiaTheme="minorEastAsia"/>
          <w:sz w:val="24"/>
          <w:szCs w:val="24"/>
        </w:rPr>
        <w:t xml:space="preserve">. The </w:t>
      </w:r>
      <w:r w:rsidR="00407922" w:rsidRPr="003B6C66">
        <w:rPr>
          <w:rFonts w:eastAsiaTheme="minorEastAsia"/>
          <w:sz w:val="24"/>
          <w:szCs w:val="24"/>
        </w:rPr>
        <w:t>dummy</w:t>
      </w:r>
      <w:r w:rsidR="00684714" w:rsidRPr="003B6C66">
        <w:rPr>
          <w:rFonts w:eastAsiaTheme="minorEastAsia"/>
          <w:sz w:val="24"/>
          <w:szCs w:val="24"/>
        </w:rPr>
        <w:t xml:space="preserve"> variables </w:t>
      </w:r>
      <w:r w:rsidR="00EA2DED">
        <w:rPr>
          <w:rFonts w:eastAsiaTheme="minorEastAsia"/>
          <w:sz w:val="24"/>
          <w:szCs w:val="24"/>
        </w:rPr>
        <w:t>for abnormal periods i</w:t>
      </w:r>
      <w:r w:rsidR="00684714" w:rsidRPr="003B6C66">
        <w:rPr>
          <w:rFonts w:eastAsiaTheme="minorEastAsia"/>
          <w:sz w:val="24"/>
          <w:szCs w:val="24"/>
        </w:rPr>
        <w:t xml:space="preserve">ncluded in the model (3) are six. The first dummy variable </w:t>
      </w:r>
      <w:r w:rsidR="002B6AC4" w:rsidRPr="003B6C66">
        <w:rPr>
          <w:rFonts w:eastAsiaTheme="minorEastAsia"/>
          <w:sz w:val="24"/>
          <w:szCs w:val="24"/>
        </w:rPr>
        <w:t>(</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oMath>
      <w:r w:rsidR="00684714" w:rsidRPr="003B6C66">
        <w:rPr>
          <w:rFonts w:eastAsiaTheme="minorEastAsia"/>
          <w:sz w:val="24"/>
          <w:szCs w:val="24"/>
        </w:rPr>
        <w:t xml:space="preserve">takes the value 1 for the period between September 2008 and September 2009. This dummy is used to capture the effect of the </w:t>
      </w:r>
      <w:r w:rsidR="00684714" w:rsidRPr="003B6C66">
        <w:rPr>
          <w:rFonts w:eastAsiaTheme="minorEastAsia"/>
          <w:sz w:val="24"/>
          <w:szCs w:val="24"/>
        </w:rPr>
        <w:lastRenderedPageBreak/>
        <w:t xml:space="preserve">international crisis that hit Chile in those months when important changes occur both in production and </w:t>
      </w:r>
      <w:r w:rsidR="0032182E">
        <w:rPr>
          <w:rFonts w:eastAsiaTheme="minorEastAsia"/>
          <w:sz w:val="24"/>
          <w:szCs w:val="24"/>
        </w:rPr>
        <w:t>domestic</w:t>
      </w:r>
      <w:r w:rsidR="00684714" w:rsidRPr="003B6C66">
        <w:rPr>
          <w:rFonts w:eastAsiaTheme="minorEastAsia"/>
          <w:sz w:val="24"/>
          <w:szCs w:val="24"/>
        </w:rPr>
        <w:t xml:space="preserve"> monetary and fiscal polic</w:t>
      </w:r>
      <w:r w:rsidR="0032182E">
        <w:rPr>
          <w:rFonts w:eastAsiaTheme="minorEastAsia"/>
          <w:sz w:val="24"/>
          <w:szCs w:val="24"/>
        </w:rPr>
        <w:t>ies</w:t>
      </w:r>
      <w:r w:rsidR="00684714" w:rsidRPr="003B6C66">
        <w:rPr>
          <w:rFonts w:eastAsiaTheme="minorEastAsia"/>
          <w:sz w:val="24"/>
          <w:szCs w:val="24"/>
        </w:rPr>
        <w:t xml:space="preserve">. The second dummy variable </w:t>
      </w:r>
      <m:oMath>
        <m:r>
          <w:rPr>
            <w:rFonts w:ascii="Cambria Math" w:eastAsiaTheme="minorEastAsia" w:hAnsi="Cambria Math"/>
            <w:sz w:val="24"/>
            <w:szCs w:val="24"/>
          </w:rPr>
          <m:t>(</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rPr>
              <m:t>2</m:t>
            </m:r>
          </m:sub>
        </m:sSub>
        <m:r>
          <w:rPr>
            <w:rFonts w:ascii="Cambria Math" w:eastAsiaTheme="minorEastAsia" w:hAnsi="Cambria Math"/>
            <w:sz w:val="24"/>
            <w:szCs w:val="24"/>
          </w:rPr>
          <m:t xml:space="preserve">) </m:t>
        </m:r>
      </m:oMath>
      <w:r w:rsidR="00684714" w:rsidRPr="003B6C66">
        <w:rPr>
          <w:rFonts w:eastAsiaTheme="minorEastAsia"/>
          <w:sz w:val="24"/>
          <w:szCs w:val="24"/>
        </w:rPr>
        <w:t>takes the value 1 for the period between October 2009 and February 2010, which corresponds to the period of recovery from the crisis.</w:t>
      </w:r>
    </w:p>
    <w:p w14:paraId="70C7A9B8" w14:textId="65696A32" w:rsidR="006D4630" w:rsidRPr="003B6C66" w:rsidRDefault="006D4630" w:rsidP="0028611D">
      <w:pPr>
        <w:jc w:val="both"/>
        <w:rPr>
          <w:rFonts w:eastAsiaTheme="minorEastAsia"/>
          <w:sz w:val="24"/>
          <w:szCs w:val="24"/>
        </w:rPr>
      </w:pPr>
      <w:r w:rsidRPr="003B6C66">
        <w:rPr>
          <w:rFonts w:eastAsiaTheme="minorEastAsia"/>
          <w:sz w:val="24"/>
          <w:szCs w:val="24"/>
        </w:rPr>
        <w:t xml:space="preserve">The third dummy variable </w:t>
      </w:r>
      <m:oMath>
        <m:r>
          <w:rPr>
            <w:rFonts w:ascii="Cambria Math" w:eastAsiaTheme="minorEastAsia" w:hAnsi="Cambria Math"/>
            <w:sz w:val="24"/>
            <w:szCs w:val="24"/>
          </w:rPr>
          <m:t>(</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rPr>
              <m:t>3</m:t>
            </m:r>
          </m:sub>
        </m:sSub>
        <m:r>
          <w:rPr>
            <w:rFonts w:ascii="Cambria Math" w:eastAsiaTheme="minorEastAsia" w:hAnsi="Cambria Math"/>
            <w:sz w:val="24"/>
            <w:szCs w:val="24"/>
          </w:rPr>
          <m:t xml:space="preserve">) </m:t>
        </m:r>
      </m:oMath>
      <w:r w:rsidR="00EA2DED">
        <w:rPr>
          <w:rFonts w:eastAsiaTheme="minorEastAsia"/>
          <w:sz w:val="24"/>
          <w:szCs w:val="24"/>
        </w:rPr>
        <w:t xml:space="preserve">becomes activated </w:t>
      </w:r>
      <w:r w:rsidRPr="003B6C66">
        <w:rPr>
          <w:rFonts w:eastAsiaTheme="minorEastAsia"/>
          <w:sz w:val="24"/>
          <w:szCs w:val="24"/>
        </w:rPr>
        <w:t>for the period between April 2020 and July 2020,</w:t>
      </w:r>
      <w:r w:rsidR="00120629" w:rsidRPr="003B6C66">
        <w:rPr>
          <w:rFonts w:eastAsiaTheme="minorEastAsia"/>
          <w:sz w:val="24"/>
          <w:szCs w:val="24"/>
        </w:rPr>
        <w:t xml:space="preserve"> months in which the economic effects of the pandemic are present, but when significant social subsidies and AFP withdrawals have not yet been implemented</w:t>
      </w:r>
      <w:r w:rsidRPr="003B6C66">
        <w:rPr>
          <w:rFonts w:eastAsiaTheme="minorEastAsia"/>
          <w:sz w:val="24"/>
          <w:szCs w:val="24"/>
        </w:rPr>
        <w:t>. The fourth dummy variable</w:t>
      </w:r>
      <w:r w:rsidR="00120629" w:rsidRPr="003B6C66">
        <w:rPr>
          <w:rFonts w:eastAsiaTheme="minorEastAsia"/>
          <w:sz w:val="24"/>
          <w:szCs w:val="24"/>
        </w:rPr>
        <w:t xml:space="preserve">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rPr>
              <m:t>(</m:t>
            </m:r>
            <m:r>
              <w:rPr>
                <w:rFonts w:ascii="Cambria Math" w:eastAsiaTheme="minorEastAsia" w:hAnsi="Cambria Math"/>
                <w:sz w:val="24"/>
                <w:szCs w:val="24"/>
                <w:lang w:val="es-CL"/>
              </w:rPr>
              <m:t>d</m:t>
            </m:r>
          </m:e>
          <m:sub>
            <m:r>
              <w:rPr>
                <w:rFonts w:ascii="Cambria Math" w:eastAsiaTheme="minorEastAsia" w:hAnsi="Cambria Math"/>
                <w:sz w:val="24"/>
                <w:szCs w:val="24"/>
              </w:rPr>
              <m:t>4</m:t>
            </m:r>
          </m:sub>
        </m:sSub>
        <m:r>
          <w:rPr>
            <w:rFonts w:ascii="Cambria Math" w:eastAsiaTheme="minorEastAsia" w:hAnsi="Cambria Math"/>
            <w:sz w:val="24"/>
            <w:szCs w:val="24"/>
          </w:rPr>
          <m:t>)</m:t>
        </m:r>
      </m:oMath>
      <w:r w:rsidR="00120629" w:rsidRPr="003B6C66">
        <w:rPr>
          <w:rFonts w:eastAsiaTheme="minorEastAsia"/>
          <w:sz w:val="24"/>
          <w:szCs w:val="24"/>
        </w:rPr>
        <w:t xml:space="preserve"> </w:t>
      </w:r>
      <w:r w:rsidRPr="003B6C66">
        <w:rPr>
          <w:rFonts w:eastAsiaTheme="minorEastAsia"/>
          <w:sz w:val="24"/>
          <w:szCs w:val="24"/>
        </w:rPr>
        <w:t xml:space="preserve">takes the value 1 for the period between August 2020 and December of the same year, period in which the effects of the pandemic coincide </w:t>
      </w:r>
      <w:r w:rsidR="00565D33" w:rsidRPr="003B6C66">
        <w:rPr>
          <w:rFonts w:eastAsiaTheme="minorEastAsia"/>
          <w:sz w:val="24"/>
          <w:szCs w:val="24"/>
        </w:rPr>
        <w:t>with</w:t>
      </w:r>
      <w:r w:rsidRPr="003B6C66">
        <w:rPr>
          <w:rFonts w:eastAsiaTheme="minorEastAsia"/>
          <w:sz w:val="24"/>
          <w:szCs w:val="24"/>
        </w:rPr>
        <w:t xml:space="preserve"> those of the first social subsidies and the first AFP withdrawal, which occur</w:t>
      </w:r>
      <w:r w:rsidR="00584568">
        <w:rPr>
          <w:rFonts w:eastAsiaTheme="minorEastAsia"/>
          <w:sz w:val="24"/>
          <w:szCs w:val="24"/>
        </w:rPr>
        <w:t>ed</w:t>
      </w:r>
      <w:r w:rsidRPr="003B6C66">
        <w:rPr>
          <w:rFonts w:eastAsiaTheme="minorEastAsia"/>
          <w:sz w:val="24"/>
          <w:szCs w:val="24"/>
        </w:rPr>
        <w:t xml:space="preserve"> in July 2020. The fifth dummy variable</w:t>
      </w:r>
      <w:r w:rsidR="00D037FC" w:rsidRPr="003B6C66">
        <w:rPr>
          <w:rFonts w:eastAsiaTheme="minorEastAsia"/>
          <w:sz w:val="24"/>
          <w:szCs w:val="24"/>
        </w:rPr>
        <w:t xml:space="preserve">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rPr>
              <m:t>(</m:t>
            </m:r>
            <m:r>
              <w:rPr>
                <w:rFonts w:ascii="Cambria Math" w:eastAsiaTheme="minorEastAsia" w:hAnsi="Cambria Math"/>
                <w:sz w:val="24"/>
                <w:szCs w:val="24"/>
                <w:lang w:val="es-CL"/>
              </w:rPr>
              <m:t>d</m:t>
            </m:r>
          </m:e>
          <m:sub>
            <m:r>
              <w:rPr>
                <w:rFonts w:ascii="Cambria Math" w:eastAsiaTheme="minorEastAsia" w:hAnsi="Cambria Math"/>
                <w:sz w:val="24"/>
                <w:szCs w:val="24"/>
              </w:rPr>
              <m:t>5</m:t>
            </m:r>
          </m:sub>
        </m:sSub>
        <m:r>
          <w:rPr>
            <w:rFonts w:ascii="Cambria Math" w:eastAsiaTheme="minorEastAsia" w:hAnsi="Cambria Math"/>
            <w:sz w:val="24"/>
            <w:szCs w:val="24"/>
          </w:rPr>
          <m:t>)</m:t>
        </m:r>
      </m:oMath>
      <w:r w:rsidR="00D037FC" w:rsidRPr="003B6C66">
        <w:rPr>
          <w:rFonts w:eastAsiaTheme="minorEastAsia"/>
          <w:sz w:val="24"/>
          <w:szCs w:val="24"/>
        </w:rPr>
        <w:t xml:space="preserve"> </w:t>
      </w:r>
      <w:r w:rsidRPr="003B6C66">
        <w:rPr>
          <w:rFonts w:eastAsiaTheme="minorEastAsia"/>
          <w:sz w:val="24"/>
          <w:szCs w:val="24"/>
        </w:rPr>
        <w:t xml:space="preserve">takes the value 1 for the period between January 2021 and April 2021, a period in which social subsidies </w:t>
      </w:r>
      <w:r w:rsidR="00BE5BCB" w:rsidRPr="003B6C66">
        <w:rPr>
          <w:rFonts w:eastAsiaTheme="minorEastAsia"/>
          <w:sz w:val="24"/>
          <w:szCs w:val="24"/>
        </w:rPr>
        <w:t xml:space="preserve">are </w:t>
      </w:r>
      <w:r w:rsidRPr="003B6C66">
        <w:rPr>
          <w:rFonts w:eastAsiaTheme="minorEastAsia"/>
          <w:sz w:val="24"/>
          <w:szCs w:val="24"/>
        </w:rPr>
        <w:t xml:space="preserve">greatly </w:t>
      </w:r>
      <w:r w:rsidR="00BE5BCB" w:rsidRPr="003B6C66">
        <w:rPr>
          <w:rFonts w:eastAsiaTheme="minorEastAsia"/>
          <w:sz w:val="24"/>
          <w:szCs w:val="24"/>
        </w:rPr>
        <w:t xml:space="preserve">increased </w:t>
      </w:r>
      <w:r w:rsidRPr="003B6C66">
        <w:rPr>
          <w:rFonts w:eastAsiaTheme="minorEastAsia"/>
          <w:sz w:val="24"/>
          <w:szCs w:val="24"/>
        </w:rPr>
        <w:t xml:space="preserve">and the second AFP withdrawal in December 2020 has its effect on domestic demand. Finally, the sixth dummy variable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rPr>
              <m:t>(</m:t>
            </m:r>
            <m:r>
              <w:rPr>
                <w:rFonts w:ascii="Cambria Math" w:eastAsiaTheme="minorEastAsia" w:hAnsi="Cambria Math"/>
                <w:sz w:val="24"/>
                <w:szCs w:val="24"/>
                <w:lang w:val="es-CL"/>
              </w:rPr>
              <m:t>d</m:t>
            </m:r>
          </m:e>
          <m:sub>
            <m:r>
              <w:rPr>
                <w:rFonts w:ascii="Cambria Math" w:eastAsiaTheme="minorEastAsia" w:hAnsi="Cambria Math"/>
                <w:sz w:val="24"/>
                <w:szCs w:val="24"/>
              </w:rPr>
              <m:t>6</m:t>
            </m:r>
          </m:sub>
        </m:sSub>
        <m:r>
          <w:rPr>
            <w:rFonts w:ascii="Cambria Math" w:eastAsiaTheme="minorEastAsia" w:hAnsi="Cambria Math"/>
            <w:sz w:val="24"/>
            <w:szCs w:val="24"/>
          </w:rPr>
          <m:t>)</m:t>
        </m:r>
      </m:oMath>
      <w:r w:rsidR="00E817CE" w:rsidRPr="003B6C66">
        <w:rPr>
          <w:rFonts w:eastAsiaTheme="minorEastAsia"/>
          <w:sz w:val="24"/>
          <w:szCs w:val="24"/>
        </w:rPr>
        <w:t xml:space="preserve"> </w:t>
      </w:r>
      <w:r w:rsidRPr="003B6C66">
        <w:rPr>
          <w:rFonts w:eastAsiaTheme="minorEastAsia"/>
          <w:sz w:val="24"/>
          <w:szCs w:val="24"/>
        </w:rPr>
        <w:t>takes the value 1 for the period between May 2021 and December 2021</w:t>
      </w:r>
      <w:r w:rsidR="008F003D" w:rsidRPr="003B6C66">
        <w:rPr>
          <w:rFonts w:eastAsiaTheme="minorEastAsia"/>
          <w:sz w:val="24"/>
          <w:szCs w:val="24"/>
        </w:rPr>
        <w:t xml:space="preserve"> when the effects of the third AFP withdrawal (April 2021) plus the high social subsidies (IFE) are present</w:t>
      </w:r>
      <w:r w:rsidRPr="003B6C66">
        <w:rPr>
          <w:rFonts w:eastAsiaTheme="minorEastAsia"/>
          <w:sz w:val="24"/>
          <w:szCs w:val="24"/>
        </w:rPr>
        <w:t>.</w:t>
      </w:r>
      <w:r w:rsidR="00C61D24">
        <w:rPr>
          <w:rStyle w:val="Refdenotaalpie"/>
          <w:rFonts w:eastAsiaTheme="minorEastAsia"/>
          <w:sz w:val="24"/>
          <w:szCs w:val="24"/>
          <w:lang w:val="es-CL"/>
        </w:rPr>
        <w:footnoteReference w:id="5"/>
      </w:r>
    </w:p>
    <w:p w14:paraId="5A6385EE" w14:textId="55C40502" w:rsidR="00E3292E" w:rsidRPr="003B6C66" w:rsidRDefault="00EA2DED" w:rsidP="00584568">
      <w:pPr>
        <w:jc w:val="both"/>
        <w:rPr>
          <w:rFonts w:eastAsiaTheme="minorEastAsia"/>
          <w:b/>
          <w:bCs/>
          <w:i/>
          <w:iCs/>
          <w:sz w:val="24"/>
          <w:szCs w:val="24"/>
        </w:rPr>
      </w:pPr>
      <w:r>
        <w:rPr>
          <w:rFonts w:eastAsiaTheme="minorEastAsia"/>
          <w:sz w:val="24"/>
          <w:szCs w:val="24"/>
        </w:rPr>
        <w:t>Thus, these dummies capture the impact of the various natural experiments that took place in the years 2020 and 2021. They show the great depth of the natural experiments that occurred in those years</w:t>
      </w:r>
      <w:r w:rsidR="006701E3">
        <w:rPr>
          <w:rFonts w:eastAsiaTheme="minorEastAsia"/>
          <w:sz w:val="24"/>
          <w:szCs w:val="24"/>
        </w:rPr>
        <w:t>,</w:t>
      </w:r>
      <w:r>
        <w:rPr>
          <w:rFonts w:eastAsiaTheme="minorEastAsia"/>
          <w:sz w:val="24"/>
          <w:szCs w:val="24"/>
        </w:rPr>
        <w:t xml:space="preserve"> including the naked impact of the </w:t>
      </w:r>
      <w:r w:rsidR="00516BC9">
        <w:rPr>
          <w:rFonts w:eastAsiaTheme="minorEastAsia"/>
          <w:sz w:val="24"/>
          <w:szCs w:val="24"/>
        </w:rPr>
        <w:t>pandemia that took place in April to July 2020 when there were no policy protection yet</w:t>
      </w:r>
      <w:r w:rsidR="006701E3">
        <w:rPr>
          <w:rFonts w:eastAsiaTheme="minorEastAsia"/>
          <w:sz w:val="24"/>
          <w:szCs w:val="24"/>
        </w:rPr>
        <w:t xml:space="preserve"> </w:t>
      </w:r>
      <m:oMath>
        <m:r>
          <w:rPr>
            <w:rFonts w:ascii="Cambria Math" w:eastAsiaTheme="minorEastAsia" w:hAnsi="Cambria Math"/>
            <w:sz w:val="24"/>
            <w:szCs w:val="24"/>
          </w:rPr>
          <m:t>(</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rPr>
              <m:t>3</m:t>
            </m:r>
          </m:sub>
        </m:sSub>
        <m:r>
          <w:rPr>
            <w:rFonts w:ascii="Cambria Math" w:eastAsiaTheme="minorEastAsia" w:hAnsi="Cambria Math"/>
            <w:sz w:val="24"/>
            <w:szCs w:val="24"/>
          </w:rPr>
          <m:t>)</m:t>
        </m:r>
      </m:oMath>
      <w:r w:rsidR="00516BC9">
        <w:rPr>
          <w:rFonts w:eastAsiaTheme="minorEastAsia"/>
          <w:sz w:val="24"/>
          <w:szCs w:val="24"/>
        </w:rPr>
        <w:t>. Then there is a period where the experiment</w:t>
      </w:r>
      <w:r w:rsidR="006701E3">
        <w:rPr>
          <w:rFonts w:eastAsiaTheme="minorEastAsia"/>
          <w:sz w:val="24"/>
          <w:szCs w:val="24"/>
        </w:rPr>
        <w:t>,</w:t>
      </w:r>
      <w:r w:rsidR="00516BC9">
        <w:rPr>
          <w:rFonts w:eastAsiaTheme="minorEastAsia"/>
          <w:sz w:val="24"/>
          <w:szCs w:val="24"/>
        </w:rPr>
        <w:t xml:space="preserve"> includes the combined impact of the pandemia and </w:t>
      </w:r>
      <w:r w:rsidR="00FB20EA">
        <w:rPr>
          <w:rFonts w:eastAsiaTheme="minorEastAsia"/>
          <w:sz w:val="24"/>
          <w:szCs w:val="24"/>
        </w:rPr>
        <w:t>the earliest</w:t>
      </w:r>
      <w:r w:rsidR="00516BC9">
        <w:rPr>
          <w:rFonts w:eastAsiaTheme="minorEastAsia"/>
          <w:sz w:val="24"/>
          <w:szCs w:val="24"/>
        </w:rPr>
        <w:t xml:space="preserve"> </w:t>
      </w:r>
      <w:r w:rsidR="006701E3">
        <w:rPr>
          <w:rFonts w:eastAsiaTheme="minorEastAsia"/>
          <w:sz w:val="24"/>
          <w:szCs w:val="24"/>
        </w:rPr>
        <w:t xml:space="preserve">and very limited </w:t>
      </w:r>
      <w:r w:rsidR="00516BC9">
        <w:rPr>
          <w:rFonts w:eastAsiaTheme="minorEastAsia"/>
          <w:sz w:val="24"/>
          <w:szCs w:val="24"/>
        </w:rPr>
        <w:t xml:space="preserve">social subsidies,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rPr>
              <m:t>4</m:t>
            </m:r>
          </m:sub>
        </m:sSub>
        <m:r>
          <w:rPr>
            <w:rFonts w:ascii="Cambria Math" w:eastAsiaTheme="minorEastAsia" w:hAnsi="Cambria Math"/>
            <w:sz w:val="24"/>
            <w:szCs w:val="24"/>
          </w:rPr>
          <m:t>.</m:t>
        </m:r>
      </m:oMath>
      <w:r>
        <w:rPr>
          <w:rFonts w:eastAsiaTheme="minorEastAsia"/>
          <w:sz w:val="24"/>
          <w:szCs w:val="24"/>
        </w:rPr>
        <w:t xml:space="preserve">  </w:t>
      </w:r>
      <w:r w:rsidR="00E24021" w:rsidRPr="003B6C66">
        <w:rPr>
          <w:rFonts w:eastAsiaTheme="minorEastAsia"/>
          <w:sz w:val="24"/>
          <w:szCs w:val="24"/>
        </w:rPr>
        <w:t xml:space="preserve">The clearest demand effects should be captured through the coefficients of the dummies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rPr>
              <m:t>5</m:t>
            </m:r>
          </m:sub>
        </m:sSub>
      </m:oMath>
      <w:r w:rsidR="00E24021" w:rsidRPr="003B6C66">
        <w:rPr>
          <w:rFonts w:eastAsiaTheme="minorEastAsia"/>
          <w:sz w:val="24"/>
          <w:szCs w:val="24"/>
        </w:rPr>
        <w:t xml:space="preserve">  and, especially,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rPr>
              <m:t>6</m:t>
            </m:r>
          </m:sub>
        </m:sSub>
      </m:oMath>
      <w:r w:rsidR="00E24021" w:rsidRPr="003B6C66">
        <w:rPr>
          <w:rFonts w:eastAsiaTheme="minorEastAsia"/>
          <w:sz w:val="24"/>
          <w:szCs w:val="24"/>
        </w:rPr>
        <w:t xml:space="preserve">,  which are the periods when the unusual demand stimuli are present in a very intense and persistent manner. It is actually a period of </w:t>
      </w:r>
      <w:r w:rsidR="006701E3">
        <w:rPr>
          <w:rFonts w:eastAsiaTheme="minorEastAsia"/>
          <w:sz w:val="24"/>
          <w:szCs w:val="24"/>
        </w:rPr>
        <w:t>greatest</w:t>
      </w:r>
      <w:r w:rsidR="00E24021" w:rsidRPr="003B6C66">
        <w:rPr>
          <w:rFonts w:eastAsiaTheme="minorEastAsia"/>
          <w:sz w:val="24"/>
          <w:szCs w:val="24"/>
        </w:rPr>
        <w:t xml:space="preserve"> demand stimul</w:t>
      </w:r>
      <w:r w:rsidR="00511201" w:rsidRPr="003B6C66">
        <w:rPr>
          <w:rFonts w:eastAsiaTheme="minorEastAsia"/>
          <w:sz w:val="24"/>
          <w:szCs w:val="24"/>
        </w:rPr>
        <w:t>i</w:t>
      </w:r>
      <w:r w:rsidR="00E24021" w:rsidRPr="003B6C66">
        <w:rPr>
          <w:rFonts w:eastAsiaTheme="minorEastAsia"/>
          <w:sz w:val="24"/>
          <w:szCs w:val="24"/>
        </w:rPr>
        <w:t xml:space="preserve"> in the recent history of the country. Therefore, it is expected that if demand stimuli cause higher inflation, then these coefficients should be positive and significant.</w:t>
      </w:r>
    </w:p>
    <w:p w14:paraId="7F20E315" w14:textId="137DE61A" w:rsidR="00533A42" w:rsidRPr="00983167" w:rsidRDefault="00DB4220" w:rsidP="00FE72E6">
      <w:pPr>
        <w:ind w:firstLine="720"/>
        <w:jc w:val="both"/>
        <w:rPr>
          <w:rFonts w:eastAsiaTheme="minorEastAsia"/>
          <w:sz w:val="24"/>
          <w:szCs w:val="24"/>
        </w:rPr>
      </w:pPr>
      <w:r w:rsidRPr="00983167">
        <w:rPr>
          <w:rFonts w:eastAsiaTheme="minorEastAsia"/>
          <w:b/>
          <w:bCs/>
          <w:i/>
          <w:iCs/>
          <w:sz w:val="24"/>
          <w:szCs w:val="24"/>
        </w:rPr>
        <w:t>2.</w:t>
      </w:r>
      <w:r w:rsidR="00FE72E6" w:rsidRPr="00983167">
        <w:rPr>
          <w:rFonts w:eastAsiaTheme="minorEastAsia"/>
          <w:b/>
          <w:bCs/>
          <w:i/>
          <w:iCs/>
          <w:sz w:val="24"/>
          <w:szCs w:val="24"/>
        </w:rPr>
        <w:t xml:space="preserve">  </w:t>
      </w:r>
      <w:r w:rsidR="00A019FE" w:rsidRPr="00983167">
        <w:rPr>
          <w:rFonts w:eastAsiaTheme="minorEastAsia"/>
          <w:b/>
          <w:bCs/>
          <w:i/>
          <w:iCs/>
          <w:sz w:val="24"/>
          <w:szCs w:val="24"/>
        </w:rPr>
        <w:t>Result</w:t>
      </w:r>
      <w:r w:rsidR="00EE4886" w:rsidRPr="00983167">
        <w:rPr>
          <w:rFonts w:eastAsiaTheme="minorEastAsia"/>
          <w:b/>
          <w:bCs/>
          <w:i/>
          <w:iCs/>
          <w:sz w:val="24"/>
          <w:szCs w:val="24"/>
        </w:rPr>
        <w:t>s</w:t>
      </w:r>
      <w:r w:rsidR="00A019FE" w:rsidRPr="00983167">
        <w:rPr>
          <w:rFonts w:eastAsiaTheme="minorEastAsia"/>
          <w:sz w:val="24"/>
          <w:szCs w:val="24"/>
        </w:rPr>
        <w:t xml:space="preserve"> </w:t>
      </w:r>
    </w:p>
    <w:p w14:paraId="01030128" w14:textId="6A193947" w:rsidR="00957586" w:rsidRPr="003B6C66" w:rsidRDefault="0056536E" w:rsidP="0093372C">
      <w:pPr>
        <w:jc w:val="both"/>
        <w:rPr>
          <w:rFonts w:eastAsiaTheme="minorEastAsia"/>
          <w:sz w:val="24"/>
          <w:szCs w:val="24"/>
        </w:rPr>
      </w:pPr>
      <w:r w:rsidRPr="003B6C66">
        <w:rPr>
          <w:rFonts w:eastAsiaTheme="minorEastAsia"/>
          <w:sz w:val="24"/>
          <w:szCs w:val="24"/>
        </w:rPr>
        <w:t>In this section we present the results of the estimations by TSLS and GMM. Table 1 shows the results of the second stage of the estimation by instrumental variables where the variable explained is monthly inflation.</w:t>
      </w:r>
    </w:p>
    <w:p w14:paraId="0B96332D" w14:textId="77777777" w:rsidR="004A13C8" w:rsidRPr="003B6C66" w:rsidRDefault="004A13C8" w:rsidP="004A13C8">
      <w:pPr>
        <w:jc w:val="both"/>
        <w:rPr>
          <w:rFonts w:eastAsiaTheme="minorEastAsia"/>
          <w:b/>
          <w:bCs/>
          <w:sz w:val="24"/>
          <w:szCs w:val="24"/>
        </w:rPr>
      </w:pPr>
      <w:r w:rsidRPr="003B6C66">
        <w:rPr>
          <w:rFonts w:eastAsiaTheme="minorEastAsia"/>
          <w:b/>
          <w:bCs/>
          <w:sz w:val="24"/>
          <w:szCs w:val="24"/>
        </w:rPr>
        <w:t>Table 1. Estimation using the TSLS method: Monthly inflation in Chile</w:t>
      </w:r>
    </w:p>
    <w:tbl>
      <w:tblPr>
        <w:tblStyle w:val="Tablanormal1"/>
        <w:tblW w:w="4950" w:type="dxa"/>
        <w:tblLook w:val="04A0" w:firstRow="1" w:lastRow="0" w:firstColumn="1" w:lastColumn="0" w:noHBand="0" w:noVBand="1"/>
      </w:tblPr>
      <w:tblGrid>
        <w:gridCol w:w="3309"/>
        <w:gridCol w:w="1641"/>
      </w:tblGrid>
      <w:tr w:rsidR="005C287B" w:rsidRPr="0071591B" w14:paraId="0CA894AC" w14:textId="77777777" w:rsidTr="00505D31">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309" w:type="dxa"/>
            <w:shd w:val="clear" w:color="auto" w:fill="D9E2F3" w:themeFill="accent1" w:themeFillTint="33"/>
            <w:noWrap/>
            <w:hideMark/>
          </w:tcPr>
          <w:p w14:paraId="386777BE" w14:textId="2522B1D4" w:rsidR="005C287B" w:rsidRPr="0093372C" w:rsidRDefault="005C287B" w:rsidP="007704B6">
            <w:pPr>
              <w:rPr>
                <w:rFonts w:ascii="Calibri" w:eastAsia="Times New Roman" w:hAnsi="Calibri" w:cs="Calibri"/>
                <w:color w:val="000000"/>
              </w:rPr>
            </w:pPr>
            <w:r w:rsidRPr="0093372C">
              <w:rPr>
                <w:rFonts w:ascii="Calibri" w:eastAsia="Times New Roman" w:hAnsi="Calibri" w:cs="Calibri"/>
                <w:color w:val="000000"/>
              </w:rPr>
              <w:t>N</w:t>
            </w:r>
            <w:r w:rsidR="00A27C94">
              <w:rPr>
                <w:rFonts w:ascii="Calibri" w:eastAsia="Times New Roman" w:hAnsi="Calibri" w:cs="Calibri"/>
                <w:color w:val="000000"/>
              </w:rPr>
              <w:t>umber of</w:t>
            </w:r>
            <w:r w:rsidRPr="0093372C">
              <w:rPr>
                <w:rFonts w:ascii="Calibri" w:eastAsia="Times New Roman" w:hAnsi="Calibri" w:cs="Calibri"/>
                <w:color w:val="000000"/>
              </w:rPr>
              <w:t xml:space="preserve"> observa</w:t>
            </w:r>
            <w:r w:rsidR="00A27C94">
              <w:rPr>
                <w:rFonts w:ascii="Calibri" w:eastAsia="Times New Roman" w:hAnsi="Calibri" w:cs="Calibri"/>
                <w:color w:val="000000"/>
              </w:rPr>
              <w:t>tions</w:t>
            </w:r>
          </w:p>
        </w:tc>
        <w:tc>
          <w:tcPr>
            <w:tcW w:w="1641" w:type="dxa"/>
            <w:shd w:val="clear" w:color="auto" w:fill="FFFFFF" w:themeFill="background1"/>
            <w:noWrap/>
            <w:hideMark/>
          </w:tcPr>
          <w:p w14:paraId="74697489" w14:textId="77777777" w:rsidR="005C287B" w:rsidRPr="0093372C" w:rsidRDefault="005C287B" w:rsidP="007704B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sidRPr="0093372C">
              <w:rPr>
                <w:rFonts w:ascii="Calibri" w:eastAsia="Times New Roman" w:hAnsi="Calibri" w:cs="Calibri"/>
                <w:b w:val="0"/>
                <w:bCs w:val="0"/>
                <w:color w:val="000000"/>
              </w:rPr>
              <w:t>261</w:t>
            </w:r>
          </w:p>
        </w:tc>
      </w:tr>
      <w:tr w:rsidR="005C287B" w:rsidRPr="0071591B" w14:paraId="4458B067" w14:textId="77777777" w:rsidTr="00505D3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309" w:type="dxa"/>
            <w:shd w:val="clear" w:color="auto" w:fill="D9E2F3" w:themeFill="accent1" w:themeFillTint="33"/>
            <w:noWrap/>
            <w:hideMark/>
          </w:tcPr>
          <w:p w14:paraId="3A5C495A" w14:textId="77777777" w:rsidR="005C287B" w:rsidRPr="0093372C" w:rsidRDefault="005C287B" w:rsidP="007704B6">
            <w:pPr>
              <w:rPr>
                <w:rFonts w:ascii="Calibri" w:eastAsia="Times New Roman" w:hAnsi="Calibri" w:cs="Calibri"/>
                <w:color w:val="000000"/>
              </w:rPr>
            </w:pPr>
            <w:r w:rsidRPr="0093372C">
              <w:rPr>
                <w:rFonts w:ascii="Calibri" w:eastAsia="Times New Roman" w:hAnsi="Calibri" w:cs="Calibri"/>
                <w:color w:val="000000"/>
              </w:rPr>
              <w:t>Wald chi2(11)</w:t>
            </w:r>
          </w:p>
        </w:tc>
        <w:tc>
          <w:tcPr>
            <w:tcW w:w="1641" w:type="dxa"/>
            <w:shd w:val="clear" w:color="auto" w:fill="FFFFFF" w:themeFill="background1"/>
            <w:noWrap/>
            <w:hideMark/>
          </w:tcPr>
          <w:p w14:paraId="0176C463" w14:textId="77777777" w:rsidR="005C287B" w:rsidRPr="0071591B" w:rsidRDefault="005C287B" w:rsidP="007704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1591B">
              <w:rPr>
                <w:rFonts w:ascii="Calibri" w:eastAsia="Times New Roman" w:hAnsi="Calibri" w:cs="Calibri"/>
                <w:color w:val="000000"/>
              </w:rPr>
              <w:t>176.14</w:t>
            </w:r>
          </w:p>
        </w:tc>
      </w:tr>
      <w:tr w:rsidR="005C287B" w:rsidRPr="0071591B" w14:paraId="33E57FBD" w14:textId="77777777" w:rsidTr="00505D31">
        <w:trPr>
          <w:trHeight w:val="296"/>
        </w:trPr>
        <w:tc>
          <w:tcPr>
            <w:cnfStyle w:val="001000000000" w:firstRow="0" w:lastRow="0" w:firstColumn="1" w:lastColumn="0" w:oddVBand="0" w:evenVBand="0" w:oddHBand="0" w:evenHBand="0" w:firstRowFirstColumn="0" w:firstRowLastColumn="0" w:lastRowFirstColumn="0" w:lastRowLastColumn="0"/>
            <w:tcW w:w="3309" w:type="dxa"/>
            <w:shd w:val="clear" w:color="auto" w:fill="D9E2F3" w:themeFill="accent1" w:themeFillTint="33"/>
            <w:noWrap/>
            <w:hideMark/>
          </w:tcPr>
          <w:p w14:paraId="1974403B" w14:textId="77777777" w:rsidR="005C287B" w:rsidRPr="0093372C" w:rsidRDefault="005C287B" w:rsidP="007704B6">
            <w:pPr>
              <w:rPr>
                <w:rFonts w:ascii="Calibri" w:eastAsia="Times New Roman" w:hAnsi="Calibri" w:cs="Calibri"/>
                <w:color w:val="000000"/>
              </w:rPr>
            </w:pPr>
            <w:r w:rsidRPr="0093372C">
              <w:rPr>
                <w:rFonts w:ascii="Calibri" w:eastAsia="Times New Roman" w:hAnsi="Calibri" w:cs="Calibri"/>
                <w:color w:val="000000"/>
              </w:rPr>
              <w:t>Prob &gt; chi2</w:t>
            </w:r>
          </w:p>
        </w:tc>
        <w:tc>
          <w:tcPr>
            <w:tcW w:w="1641" w:type="dxa"/>
            <w:shd w:val="clear" w:color="auto" w:fill="FFFFFF" w:themeFill="background1"/>
            <w:noWrap/>
            <w:hideMark/>
          </w:tcPr>
          <w:p w14:paraId="1BD0CA16" w14:textId="77777777" w:rsidR="005C287B" w:rsidRPr="0071591B" w:rsidRDefault="005C287B" w:rsidP="007704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1591B">
              <w:rPr>
                <w:rFonts w:ascii="Calibri" w:eastAsia="Times New Roman" w:hAnsi="Calibri" w:cs="Calibri"/>
                <w:color w:val="000000"/>
              </w:rPr>
              <w:t>0.0000</w:t>
            </w:r>
          </w:p>
        </w:tc>
      </w:tr>
      <w:tr w:rsidR="005C287B" w:rsidRPr="0071591B" w14:paraId="382474DD" w14:textId="77777777" w:rsidTr="00505D3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309" w:type="dxa"/>
            <w:shd w:val="clear" w:color="auto" w:fill="D9E2F3" w:themeFill="accent1" w:themeFillTint="33"/>
            <w:noWrap/>
            <w:hideMark/>
          </w:tcPr>
          <w:p w14:paraId="06625606" w14:textId="1B325A22" w:rsidR="005C287B" w:rsidRPr="0093372C" w:rsidRDefault="005C287B" w:rsidP="007704B6">
            <w:pPr>
              <w:rPr>
                <w:rFonts w:ascii="Calibri" w:eastAsia="Times New Roman" w:hAnsi="Calibri" w:cs="Calibri"/>
                <w:color w:val="000000"/>
              </w:rPr>
            </w:pPr>
            <w:r w:rsidRPr="0093372C">
              <w:rPr>
                <w:rFonts w:ascii="Calibri" w:eastAsia="Times New Roman" w:hAnsi="Calibri" w:cs="Calibri"/>
                <w:color w:val="000000"/>
              </w:rPr>
              <w:t>R-</w:t>
            </w:r>
            <w:r w:rsidR="00A27C94">
              <w:rPr>
                <w:rFonts w:ascii="Calibri" w:eastAsia="Times New Roman" w:hAnsi="Calibri" w:cs="Calibri"/>
                <w:color w:val="000000"/>
              </w:rPr>
              <w:t>squared</w:t>
            </w:r>
          </w:p>
        </w:tc>
        <w:tc>
          <w:tcPr>
            <w:tcW w:w="1641" w:type="dxa"/>
            <w:shd w:val="clear" w:color="auto" w:fill="FFFFFF" w:themeFill="background1"/>
            <w:noWrap/>
            <w:hideMark/>
          </w:tcPr>
          <w:p w14:paraId="058AC7ED" w14:textId="77777777" w:rsidR="005C287B" w:rsidRPr="0071591B" w:rsidRDefault="005C287B" w:rsidP="007704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1591B">
              <w:rPr>
                <w:rFonts w:ascii="Calibri" w:eastAsia="Times New Roman" w:hAnsi="Calibri" w:cs="Calibri"/>
                <w:color w:val="000000"/>
              </w:rPr>
              <w:t>0.2908</w:t>
            </w:r>
          </w:p>
        </w:tc>
      </w:tr>
    </w:tbl>
    <w:p w14:paraId="0A8C034E" w14:textId="77777777" w:rsidR="005C287B" w:rsidRPr="00392569" w:rsidRDefault="005C287B" w:rsidP="0093372C">
      <w:pPr>
        <w:jc w:val="both"/>
        <w:rPr>
          <w:rFonts w:eastAsiaTheme="minorEastAsia"/>
          <w:b/>
          <w:bCs/>
          <w:sz w:val="24"/>
          <w:szCs w:val="24"/>
          <w:lang w:val="es-CL"/>
        </w:rPr>
      </w:pPr>
    </w:p>
    <w:tbl>
      <w:tblPr>
        <w:tblStyle w:val="Tablaconcuadrculaclara"/>
        <w:tblW w:w="8781" w:type="dxa"/>
        <w:tblLook w:val="04A0" w:firstRow="1" w:lastRow="0" w:firstColumn="1" w:lastColumn="0" w:noHBand="0" w:noVBand="1"/>
      </w:tblPr>
      <w:tblGrid>
        <w:gridCol w:w="1668"/>
        <w:gridCol w:w="1248"/>
        <w:gridCol w:w="1155"/>
        <w:gridCol w:w="769"/>
        <w:gridCol w:w="1155"/>
        <w:gridCol w:w="1282"/>
        <w:gridCol w:w="1504"/>
      </w:tblGrid>
      <w:tr w:rsidR="003E7104" w:rsidRPr="008A2462" w14:paraId="7ED738EA" w14:textId="77777777" w:rsidTr="00505D31">
        <w:trPr>
          <w:trHeight w:val="531"/>
        </w:trPr>
        <w:tc>
          <w:tcPr>
            <w:tcW w:w="1668" w:type="dxa"/>
            <w:shd w:val="clear" w:color="auto" w:fill="D9E2F3" w:themeFill="accent1" w:themeFillTint="33"/>
            <w:noWrap/>
            <w:hideMark/>
          </w:tcPr>
          <w:p w14:paraId="2B707949" w14:textId="527C5DEA" w:rsidR="0093372C" w:rsidRPr="008E7809" w:rsidRDefault="0093372C" w:rsidP="008E33E1">
            <w:pPr>
              <w:jc w:val="center"/>
              <w:rPr>
                <w:rFonts w:ascii="Calibri" w:eastAsia="Times New Roman" w:hAnsi="Calibri" w:cs="Calibri"/>
                <w:b/>
                <w:bCs/>
                <w:color w:val="000000"/>
              </w:rPr>
            </w:pPr>
            <w:r w:rsidRPr="008E7809">
              <w:rPr>
                <w:rFonts w:ascii="Calibri" w:eastAsia="Times New Roman" w:hAnsi="Calibri" w:cs="Calibri"/>
                <w:b/>
                <w:bCs/>
                <w:color w:val="000000"/>
              </w:rPr>
              <w:lastRenderedPageBreak/>
              <w:t>C</w:t>
            </w:r>
            <w:r w:rsidR="003E7104" w:rsidRPr="008E7809">
              <w:rPr>
                <w:rFonts w:ascii="Calibri" w:eastAsia="Times New Roman" w:hAnsi="Calibri" w:cs="Calibri"/>
                <w:b/>
                <w:bCs/>
                <w:color w:val="000000"/>
              </w:rPr>
              <w:t>hile</w:t>
            </w:r>
            <w:r w:rsidR="008E33E1">
              <w:rPr>
                <w:rFonts w:ascii="Calibri" w:eastAsia="Times New Roman" w:hAnsi="Calibri" w:cs="Calibri"/>
                <w:b/>
                <w:bCs/>
                <w:color w:val="000000"/>
              </w:rPr>
              <w:t xml:space="preserve"> </w:t>
            </w:r>
            <w:r w:rsidR="00ED517B">
              <w:rPr>
                <w:rFonts w:ascii="Calibri" w:eastAsia="Times New Roman" w:hAnsi="Calibri" w:cs="Calibri"/>
                <w:b/>
                <w:bCs/>
                <w:color w:val="000000"/>
              </w:rPr>
              <w:t>I</w:t>
            </w:r>
            <w:r w:rsidR="008E33E1" w:rsidRPr="008E7809">
              <w:rPr>
                <w:rFonts w:ascii="Calibri" w:eastAsia="Times New Roman" w:hAnsi="Calibri" w:cs="Calibri"/>
                <w:b/>
                <w:bCs/>
                <w:color w:val="000000"/>
              </w:rPr>
              <w:t>nf</w:t>
            </w:r>
            <w:r w:rsidR="008E33E1">
              <w:rPr>
                <w:rFonts w:ascii="Calibri" w:eastAsia="Times New Roman" w:hAnsi="Calibri" w:cs="Calibri"/>
                <w:b/>
                <w:bCs/>
                <w:color w:val="000000"/>
              </w:rPr>
              <w:t>.</w:t>
            </w:r>
            <w:r w:rsidR="00ED517B">
              <w:rPr>
                <w:rFonts w:ascii="Calibri" w:eastAsia="Times New Roman" w:hAnsi="Calibri" w:cs="Calibri"/>
                <w:b/>
                <w:bCs/>
                <w:color w:val="000000"/>
              </w:rPr>
              <w:t xml:space="preserve"> </w:t>
            </w:r>
          </w:p>
        </w:tc>
        <w:tc>
          <w:tcPr>
            <w:tcW w:w="1248" w:type="dxa"/>
            <w:shd w:val="clear" w:color="auto" w:fill="D9E2F3" w:themeFill="accent1" w:themeFillTint="33"/>
            <w:noWrap/>
            <w:hideMark/>
          </w:tcPr>
          <w:p w14:paraId="14E9BC5D" w14:textId="13FBC90C" w:rsidR="0093372C" w:rsidRPr="008E7809" w:rsidRDefault="0093372C" w:rsidP="003E7104">
            <w:pPr>
              <w:jc w:val="center"/>
              <w:rPr>
                <w:rFonts w:ascii="Calibri" w:eastAsia="Times New Roman" w:hAnsi="Calibri" w:cs="Calibri"/>
                <w:b/>
                <w:bCs/>
                <w:color w:val="000000"/>
              </w:rPr>
            </w:pPr>
            <w:r w:rsidRPr="008E7809">
              <w:rPr>
                <w:rFonts w:ascii="Calibri" w:eastAsia="Times New Roman" w:hAnsi="Calibri" w:cs="Calibri"/>
                <w:b/>
                <w:bCs/>
                <w:color w:val="000000"/>
              </w:rPr>
              <w:t>Coef</w:t>
            </w:r>
            <w:r w:rsidR="00481660">
              <w:rPr>
                <w:rFonts w:ascii="Calibri" w:eastAsia="Times New Roman" w:hAnsi="Calibri" w:cs="Calibri"/>
                <w:b/>
                <w:bCs/>
                <w:color w:val="000000"/>
              </w:rPr>
              <w:t>f</w:t>
            </w:r>
            <w:r w:rsidRPr="008E7809">
              <w:rPr>
                <w:rFonts w:ascii="Calibri" w:eastAsia="Times New Roman" w:hAnsi="Calibri" w:cs="Calibri"/>
                <w:b/>
                <w:bCs/>
                <w:color w:val="000000"/>
              </w:rPr>
              <w:t>icient</w:t>
            </w:r>
          </w:p>
        </w:tc>
        <w:tc>
          <w:tcPr>
            <w:tcW w:w="1155" w:type="dxa"/>
            <w:shd w:val="clear" w:color="auto" w:fill="D9E2F3" w:themeFill="accent1" w:themeFillTint="33"/>
            <w:hideMark/>
          </w:tcPr>
          <w:p w14:paraId="65EC0344" w14:textId="53060F63" w:rsidR="0093372C" w:rsidRPr="008E7809" w:rsidRDefault="00481660" w:rsidP="003E7104">
            <w:pPr>
              <w:jc w:val="center"/>
              <w:rPr>
                <w:rFonts w:ascii="Calibri" w:eastAsia="Times New Roman" w:hAnsi="Calibri" w:cs="Calibri"/>
                <w:b/>
                <w:bCs/>
                <w:color w:val="000000"/>
              </w:rPr>
            </w:pPr>
            <w:r w:rsidRPr="008E7809">
              <w:rPr>
                <w:rFonts w:ascii="Calibri" w:eastAsia="Times New Roman" w:hAnsi="Calibri" w:cs="Calibri"/>
                <w:b/>
                <w:bCs/>
                <w:color w:val="000000"/>
              </w:rPr>
              <w:t>Robust</w:t>
            </w:r>
            <w:r>
              <w:rPr>
                <w:rFonts w:ascii="Calibri" w:eastAsia="Times New Roman" w:hAnsi="Calibri" w:cs="Calibri"/>
                <w:b/>
                <w:bCs/>
                <w:color w:val="000000"/>
              </w:rPr>
              <w:t xml:space="preserve"> </w:t>
            </w:r>
            <w:r w:rsidR="00ED517B">
              <w:rPr>
                <w:rFonts w:ascii="Calibri" w:eastAsia="Times New Roman" w:hAnsi="Calibri" w:cs="Calibri"/>
                <w:b/>
                <w:bCs/>
                <w:color w:val="000000"/>
              </w:rPr>
              <w:t>S</w:t>
            </w:r>
            <w:r>
              <w:rPr>
                <w:rFonts w:ascii="Calibri" w:eastAsia="Times New Roman" w:hAnsi="Calibri" w:cs="Calibri"/>
                <w:b/>
                <w:bCs/>
                <w:color w:val="000000"/>
              </w:rPr>
              <w:t>td</w:t>
            </w:r>
            <w:r w:rsidR="0093372C" w:rsidRPr="008E7809">
              <w:rPr>
                <w:rFonts w:ascii="Calibri" w:eastAsia="Times New Roman" w:hAnsi="Calibri" w:cs="Calibri"/>
                <w:b/>
                <w:bCs/>
                <w:color w:val="000000"/>
              </w:rPr>
              <w:t xml:space="preserve">. </w:t>
            </w:r>
            <w:r w:rsidR="00ED517B">
              <w:rPr>
                <w:rFonts w:ascii="Calibri" w:eastAsia="Times New Roman" w:hAnsi="Calibri" w:cs="Calibri"/>
                <w:b/>
                <w:bCs/>
                <w:color w:val="000000"/>
              </w:rPr>
              <w:t>E</w:t>
            </w:r>
            <w:r>
              <w:rPr>
                <w:rFonts w:ascii="Calibri" w:eastAsia="Times New Roman" w:hAnsi="Calibri" w:cs="Calibri"/>
                <w:b/>
                <w:bCs/>
                <w:color w:val="000000"/>
              </w:rPr>
              <w:t>rr</w:t>
            </w:r>
            <w:r w:rsidR="003E7104" w:rsidRPr="008E7809">
              <w:rPr>
                <w:rFonts w:ascii="Calibri" w:eastAsia="Times New Roman" w:hAnsi="Calibri" w:cs="Calibri"/>
                <w:b/>
                <w:bCs/>
                <w:color w:val="000000"/>
              </w:rPr>
              <w:t>.</w:t>
            </w:r>
            <w:r w:rsidR="0093372C" w:rsidRPr="008E7809">
              <w:rPr>
                <w:rFonts w:ascii="Calibri" w:eastAsia="Times New Roman" w:hAnsi="Calibri" w:cs="Calibri"/>
                <w:b/>
                <w:bCs/>
                <w:color w:val="000000"/>
              </w:rPr>
              <w:t xml:space="preserve"> </w:t>
            </w:r>
          </w:p>
        </w:tc>
        <w:tc>
          <w:tcPr>
            <w:tcW w:w="769" w:type="dxa"/>
            <w:shd w:val="clear" w:color="auto" w:fill="D9E2F3" w:themeFill="accent1" w:themeFillTint="33"/>
            <w:noWrap/>
            <w:hideMark/>
          </w:tcPr>
          <w:p w14:paraId="2A462C7C" w14:textId="5B307359" w:rsidR="0093372C" w:rsidRPr="008E7809" w:rsidRDefault="00270E8B" w:rsidP="003E7104">
            <w:pPr>
              <w:jc w:val="center"/>
              <w:rPr>
                <w:rFonts w:ascii="Calibri" w:eastAsia="Times New Roman" w:hAnsi="Calibri" w:cs="Calibri"/>
                <w:b/>
                <w:bCs/>
                <w:color w:val="000000"/>
              </w:rPr>
            </w:pPr>
            <w:r>
              <w:rPr>
                <w:rFonts w:ascii="Calibri" w:eastAsia="Times New Roman" w:hAnsi="Calibri" w:cs="Calibri"/>
                <w:b/>
                <w:bCs/>
                <w:color w:val="000000"/>
              </w:rPr>
              <w:t>z</w:t>
            </w:r>
          </w:p>
        </w:tc>
        <w:tc>
          <w:tcPr>
            <w:tcW w:w="1155" w:type="dxa"/>
            <w:shd w:val="clear" w:color="auto" w:fill="D9E2F3" w:themeFill="accent1" w:themeFillTint="33"/>
            <w:noWrap/>
            <w:hideMark/>
          </w:tcPr>
          <w:p w14:paraId="61255049" w14:textId="01B3A425" w:rsidR="0093372C" w:rsidRPr="008E7809" w:rsidRDefault="0093372C" w:rsidP="003E7104">
            <w:pPr>
              <w:jc w:val="center"/>
              <w:rPr>
                <w:rFonts w:ascii="Calibri" w:eastAsia="Times New Roman" w:hAnsi="Calibri" w:cs="Calibri"/>
                <w:b/>
                <w:bCs/>
                <w:color w:val="000000"/>
              </w:rPr>
            </w:pPr>
            <w:r w:rsidRPr="008E7809">
              <w:rPr>
                <w:rFonts w:ascii="Calibri" w:eastAsia="Times New Roman" w:hAnsi="Calibri" w:cs="Calibri"/>
                <w:b/>
                <w:bCs/>
                <w:color w:val="000000"/>
              </w:rPr>
              <w:t>p&gt;|</w:t>
            </w:r>
            <w:r w:rsidR="00270E8B">
              <w:rPr>
                <w:rFonts w:ascii="Calibri" w:eastAsia="Times New Roman" w:hAnsi="Calibri" w:cs="Calibri"/>
                <w:b/>
                <w:bCs/>
                <w:color w:val="000000"/>
              </w:rPr>
              <w:t>z</w:t>
            </w:r>
            <w:r w:rsidRPr="008E7809">
              <w:rPr>
                <w:rFonts w:ascii="Calibri" w:eastAsia="Times New Roman" w:hAnsi="Calibri" w:cs="Calibri"/>
                <w:b/>
                <w:bCs/>
                <w:color w:val="000000"/>
              </w:rPr>
              <w:t>|</w:t>
            </w:r>
          </w:p>
        </w:tc>
        <w:tc>
          <w:tcPr>
            <w:tcW w:w="2786" w:type="dxa"/>
            <w:gridSpan w:val="2"/>
            <w:shd w:val="clear" w:color="auto" w:fill="D9E2F3" w:themeFill="accent1" w:themeFillTint="33"/>
            <w:hideMark/>
          </w:tcPr>
          <w:p w14:paraId="6F85E60B" w14:textId="6A2E68D3" w:rsidR="0093372C" w:rsidRPr="008E7809" w:rsidRDefault="005B520E" w:rsidP="005B520E">
            <w:pPr>
              <w:rPr>
                <w:rFonts w:ascii="Calibri" w:eastAsia="Times New Roman" w:hAnsi="Calibri" w:cs="Calibri"/>
                <w:b/>
                <w:bCs/>
                <w:color w:val="000000"/>
              </w:rPr>
            </w:pPr>
            <w:r>
              <w:rPr>
                <w:rFonts w:ascii="Calibri" w:eastAsia="Times New Roman" w:hAnsi="Calibri" w:cs="Calibri"/>
                <w:b/>
                <w:bCs/>
                <w:color w:val="000000"/>
              </w:rPr>
              <w:t xml:space="preserve"> </w:t>
            </w:r>
            <w:r w:rsidR="00B36691">
              <w:rPr>
                <w:rFonts w:ascii="Calibri" w:eastAsia="Times New Roman" w:hAnsi="Calibri" w:cs="Calibri"/>
                <w:b/>
                <w:bCs/>
                <w:color w:val="000000"/>
              </w:rPr>
              <w:t xml:space="preserve">Confidence </w:t>
            </w:r>
            <w:r w:rsidR="00ED517B">
              <w:rPr>
                <w:rFonts w:ascii="Calibri" w:eastAsia="Times New Roman" w:hAnsi="Calibri" w:cs="Calibri"/>
                <w:b/>
                <w:bCs/>
                <w:color w:val="000000"/>
              </w:rPr>
              <w:t>I</w:t>
            </w:r>
            <w:r w:rsidR="00B36691">
              <w:rPr>
                <w:rFonts w:ascii="Calibri" w:eastAsia="Times New Roman" w:hAnsi="Calibri" w:cs="Calibri"/>
                <w:b/>
                <w:bCs/>
                <w:color w:val="000000"/>
              </w:rPr>
              <w:t>nterval</w:t>
            </w:r>
            <w:r w:rsidR="003E7104" w:rsidRPr="008E7809">
              <w:rPr>
                <w:rFonts w:ascii="Calibri" w:eastAsia="Times New Roman" w:hAnsi="Calibri" w:cs="Calibri"/>
                <w:b/>
                <w:bCs/>
                <w:color w:val="000000"/>
              </w:rPr>
              <w:t xml:space="preserve"> (95%)</w:t>
            </w:r>
          </w:p>
        </w:tc>
      </w:tr>
      <w:tr w:rsidR="003E7104" w:rsidRPr="008A2462" w14:paraId="2A3947C4" w14:textId="77777777" w:rsidTr="00505D31">
        <w:trPr>
          <w:trHeight w:val="261"/>
        </w:trPr>
        <w:tc>
          <w:tcPr>
            <w:tcW w:w="1668" w:type="dxa"/>
            <w:noWrap/>
            <w:hideMark/>
          </w:tcPr>
          <w:p w14:paraId="21AF7234" w14:textId="009F1364" w:rsidR="003E7104" w:rsidRPr="005B7D9B" w:rsidRDefault="005B7D9B" w:rsidP="003E7104">
            <w:pPr>
              <w:rPr>
                <w:rFonts w:ascii="Calibri" w:eastAsia="Times New Roman" w:hAnsi="Calibri" w:cs="Calibri"/>
                <w:color w:val="000000"/>
                <w:lang w:val="es-CL"/>
              </w:rPr>
            </w:pPr>
            <m:oMathPara>
              <m:oMathParaPr>
                <m:jc m:val="left"/>
              </m:oMathParaPr>
              <m:oMath>
                <m:r>
                  <w:rPr>
                    <w:rFonts w:ascii="Cambria Math" w:eastAsia="Times New Roman" w:hAnsi="Cambria Math" w:cs="Calibri"/>
                    <w:color w:val="000000"/>
                  </w:rPr>
                  <m:t>∆E</m:t>
                </m:r>
              </m:oMath>
            </m:oMathPara>
          </w:p>
        </w:tc>
        <w:tc>
          <w:tcPr>
            <w:tcW w:w="1248" w:type="dxa"/>
            <w:noWrap/>
            <w:hideMark/>
          </w:tcPr>
          <w:p w14:paraId="62BCFED8" w14:textId="649D5E69"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0.1070</w:t>
            </w:r>
          </w:p>
        </w:tc>
        <w:tc>
          <w:tcPr>
            <w:tcW w:w="1155" w:type="dxa"/>
            <w:noWrap/>
            <w:hideMark/>
          </w:tcPr>
          <w:p w14:paraId="07898907" w14:textId="037C3AA7"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0.0295</w:t>
            </w:r>
          </w:p>
        </w:tc>
        <w:tc>
          <w:tcPr>
            <w:tcW w:w="769" w:type="dxa"/>
            <w:noWrap/>
            <w:hideMark/>
          </w:tcPr>
          <w:p w14:paraId="425A7BE1" w14:textId="4AF7F687"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3.63</w:t>
            </w:r>
          </w:p>
        </w:tc>
        <w:tc>
          <w:tcPr>
            <w:tcW w:w="1155" w:type="dxa"/>
            <w:noWrap/>
            <w:hideMark/>
          </w:tcPr>
          <w:p w14:paraId="244F3245" w14:textId="558D6461"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w:t>
            </w:r>
          </w:p>
        </w:tc>
        <w:tc>
          <w:tcPr>
            <w:tcW w:w="1282" w:type="dxa"/>
            <w:noWrap/>
            <w:hideMark/>
          </w:tcPr>
          <w:p w14:paraId="0D483824" w14:textId="2E615964"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0.0492</w:t>
            </w:r>
          </w:p>
        </w:tc>
        <w:tc>
          <w:tcPr>
            <w:tcW w:w="1504" w:type="dxa"/>
            <w:noWrap/>
            <w:hideMark/>
          </w:tcPr>
          <w:p w14:paraId="269E83F6" w14:textId="4143D9E7"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0.1648</w:t>
            </w:r>
          </w:p>
        </w:tc>
      </w:tr>
      <w:tr w:rsidR="003E7104" w:rsidRPr="008A2462" w14:paraId="0AAFBC0E" w14:textId="77777777" w:rsidTr="00505D31">
        <w:trPr>
          <w:trHeight w:val="261"/>
        </w:trPr>
        <w:tc>
          <w:tcPr>
            <w:tcW w:w="1668" w:type="dxa"/>
            <w:noWrap/>
            <w:hideMark/>
          </w:tcPr>
          <w:p w14:paraId="7282E40C" w14:textId="4D0FFDC3" w:rsidR="003E7104" w:rsidRPr="008A2462" w:rsidRDefault="003E7104" w:rsidP="003E7104">
            <w:pPr>
              <w:rPr>
                <w:rFonts w:ascii="Calibri" w:eastAsia="Times New Roman" w:hAnsi="Calibri" w:cs="Calibri"/>
                <w:color w:val="000000"/>
              </w:rPr>
            </w:pPr>
            <w:r w:rsidRPr="008A2462">
              <w:rPr>
                <w:rFonts w:ascii="Calibri" w:eastAsia="Times New Roman" w:hAnsi="Calibri" w:cs="Calibri"/>
                <w:color w:val="000000"/>
              </w:rPr>
              <w:t>US</w:t>
            </w:r>
            <w:r w:rsidR="007B528F">
              <w:rPr>
                <w:rFonts w:ascii="Calibri" w:eastAsia="Times New Roman" w:hAnsi="Calibri" w:cs="Calibri"/>
                <w:color w:val="000000"/>
              </w:rPr>
              <w:t xml:space="preserve"> Inf.</w:t>
            </w:r>
            <w:r w:rsidR="00ED517B">
              <w:rPr>
                <w:rFonts w:ascii="Calibri" w:eastAsia="Times New Roman" w:hAnsi="Calibri" w:cs="Calibri"/>
                <w:color w:val="000000"/>
              </w:rPr>
              <w:t xml:space="preserve"> </w:t>
            </w:r>
          </w:p>
        </w:tc>
        <w:tc>
          <w:tcPr>
            <w:tcW w:w="1248" w:type="dxa"/>
            <w:noWrap/>
            <w:hideMark/>
          </w:tcPr>
          <w:p w14:paraId="227382E4" w14:textId="4494F440"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0.4974</w:t>
            </w:r>
          </w:p>
        </w:tc>
        <w:tc>
          <w:tcPr>
            <w:tcW w:w="1155" w:type="dxa"/>
            <w:noWrap/>
            <w:hideMark/>
          </w:tcPr>
          <w:p w14:paraId="44713946" w14:textId="24B01E0C"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0.0713</w:t>
            </w:r>
          </w:p>
        </w:tc>
        <w:tc>
          <w:tcPr>
            <w:tcW w:w="769" w:type="dxa"/>
            <w:noWrap/>
            <w:hideMark/>
          </w:tcPr>
          <w:p w14:paraId="46AF011B" w14:textId="4DCC8800"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6.98</w:t>
            </w:r>
          </w:p>
        </w:tc>
        <w:tc>
          <w:tcPr>
            <w:tcW w:w="1155" w:type="dxa"/>
            <w:noWrap/>
            <w:hideMark/>
          </w:tcPr>
          <w:p w14:paraId="42CA3802" w14:textId="632F7C3E"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w:t>
            </w:r>
          </w:p>
        </w:tc>
        <w:tc>
          <w:tcPr>
            <w:tcW w:w="1282" w:type="dxa"/>
            <w:noWrap/>
            <w:hideMark/>
          </w:tcPr>
          <w:p w14:paraId="62D37E57" w14:textId="33097B24"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0.3577</w:t>
            </w:r>
          </w:p>
        </w:tc>
        <w:tc>
          <w:tcPr>
            <w:tcW w:w="1504" w:type="dxa"/>
            <w:noWrap/>
            <w:hideMark/>
          </w:tcPr>
          <w:p w14:paraId="66A2B2BC" w14:textId="7C876A93"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0.6370</w:t>
            </w:r>
          </w:p>
        </w:tc>
      </w:tr>
      <w:tr w:rsidR="003E7104" w:rsidRPr="008A2462" w14:paraId="7E03CC4A" w14:textId="77777777" w:rsidTr="00505D31">
        <w:trPr>
          <w:trHeight w:val="261"/>
        </w:trPr>
        <w:tc>
          <w:tcPr>
            <w:tcW w:w="1668" w:type="dxa"/>
            <w:noWrap/>
            <w:hideMark/>
          </w:tcPr>
          <w:p w14:paraId="12CE0BD4" w14:textId="088B1860" w:rsidR="003E7104" w:rsidRPr="008A2462" w:rsidRDefault="003E7104" w:rsidP="003E7104">
            <w:pPr>
              <w:rPr>
                <w:rFonts w:ascii="Calibri" w:eastAsia="Times New Roman" w:hAnsi="Calibri" w:cs="Calibri"/>
                <w:color w:val="000000"/>
              </w:rPr>
            </w:pPr>
            <w:r w:rsidRPr="008A2462">
              <w:rPr>
                <w:rFonts w:ascii="Calibri" w:eastAsia="Times New Roman" w:hAnsi="Calibri" w:cs="Calibri"/>
                <w:color w:val="000000"/>
              </w:rPr>
              <w:t>C</w:t>
            </w:r>
            <w:r>
              <w:rPr>
                <w:rFonts w:ascii="Calibri" w:eastAsia="Times New Roman" w:hAnsi="Calibri" w:cs="Calibri"/>
                <w:color w:val="000000"/>
              </w:rPr>
              <w:t>hina</w:t>
            </w:r>
            <w:r w:rsidR="007B528F">
              <w:rPr>
                <w:rFonts w:ascii="Calibri" w:eastAsia="Times New Roman" w:hAnsi="Calibri" w:cs="Calibri"/>
                <w:color w:val="000000"/>
              </w:rPr>
              <w:t xml:space="preserve"> Inf.</w:t>
            </w:r>
          </w:p>
        </w:tc>
        <w:tc>
          <w:tcPr>
            <w:tcW w:w="1248" w:type="dxa"/>
            <w:noWrap/>
            <w:hideMark/>
          </w:tcPr>
          <w:p w14:paraId="05A873F9" w14:textId="7FEECBE1"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0.0554</w:t>
            </w:r>
          </w:p>
        </w:tc>
        <w:tc>
          <w:tcPr>
            <w:tcW w:w="1155" w:type="dxa"/>
            <w:noWrap/>
            <w:hideMark/>
          </w:tcPr>
          <w:p w14:paraId="2A75D486" w14:textId="1CF7D594"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0.0379</w:t>
            </w:r>
          </w:p>
        </w:tc>
        <w:tc>
          <w:tcPr>
            <w:tcW w:w="769" w:type="dxa"/>
            <w:noWrap/>
            <w:hideMark/>
          </w:tcPr>
          <w:p w14:paraId="0566F3F2" w14:textId="46413339"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1.46</w:t>
            </w:r>
          </w:p>
        </w:tc>
        <w:tc>
          <w:tcPr>
            <w:tcW w:w="1155" w:type="dxa"/>
            <w:noWrap/>
            <w:hideMark/>
          </w:tcPr>
          <w:p w14:paraId="59A94788" w14:textId="74D40B58"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0.144</w:t>
            </w:r>
          </w:p>
        </w:tc>
        <w:tc>
          <w:tcPr>
            <w:tcW w:w="1282" w:type="dxa"/>
            <w:noWrap/>
            <w:hideMark/>
          </w:tcPr>
          <w:p w14:paraId="4E2A0439" w14:textId="4EF42387"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-0.0189</w:t>
            </w:r>
          </w:p>
        </w:tc>
        <w:tc>
          <w:tcPr>
            <w:tcW w:w="1504" w:type="dxa"/>
            <w:noWrap/>
            <w:hideMark/>
          </w:tcPr>
          <w:p w14:paraId="3CF0D40D" w14:textId="39F8F485"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0.1298</w:t>
            </w:r>
          </w:p>
        </w:tc>
      </w:tr>
      <w:tr w:rsidR="003E7104" w:rsidRPr="008A2462" w14:paraId="35E9FED0" w14:textId="77777777" w:rsidTr="00505D31">
        <w:trPr>
          <w:trHeight w:val="261"/>
        </w:trPr>
        <w:tc>
          <w:tcPr>
            <w:tcW w:w="1668" w:type="dxa"/>
            <w:noWrap/>
            <w:hideMark/>
          </w:tcPr>
          <w:p w14:paraId="72C11D5A" w14:textId="53919EB3" w:rsidR="003E7104" w:rsidRPr="008A2462" w:rsidRDefault="007B528F" w:rsidP="003E7104">
            <w:pPr>
              <w:rPr>
                <w:rFonts w:ascii="Calibri" w:eastAsia="Times New Roman" w:hAnsi="Calibri" w:cs="Calibri"/>
                <w:color w:val="000000"/>
              </w:rPr>
            </w:pPr>
            <w:r>
              <w:rPr>
                <w:rFonts w:ascii="Calibri" w:eastAsia="Times New Roman" w:hAnsi="Calibri" w:cs="Calibri"/>
                <w:color w:val="000000"/>
              </w:rPr>
              <w:t>E</w:t>
            </w:r>
            <w:r w:rsidR="003E7104">
              <w:rPr>
                <w:rFonts w:ascii="Calibri" w:eastAsia="Times New Roman" w:hAnsi="Calibri" w:cs="Calibri"/>
                <w:color w:val="000000"/>
              </w:rPr>
              <w:t>urozon</w:t>
            </w:r>
            <w:r>
              <w:rPr>
                <w:rFonts w:ascii="Calibri" w:eastAsia="Times New Roman" w:hAnsi="Calibri" w:cs="Calibri"/>
                <w:color w:val="000000"/>
              </w:rPr>
              <w:t xml:space="preserve">e </w:t>
            </w:r>
            <w:r w:rsidRPr="008A2462">
              <w:rPr>
                <w:rFonts w:ascii="Calibri" w:eastAsia="Times New Roman" w:hAnsi="Calibri" w:cs="Calibri"/>
                <w:color w:val="000000"/>
              </w:rPr>
              <w:t>I</w:t>
            </w:r>
            <w:r>
              <w:rPr>
                <w:rFonts w:ascii="Calibri" w:eastAsia="Times New Roman" w:hAnsi="Calibri" w:cs="Calibri"/>
                <w:color w:val="000000"/>
              </w:rPr>
              <w:t>nf.</w:t>
            </w:r>
          </w:p>
        </w:tc>
        <w:tc>
          <w:tcPr>
            <w:tcW w:w="1248" w:type="dxa"/>
            <w:noWrap/>
            <w:hideMark/>
          </w:tcPr>
          <w:p w14:paraId="75900A3E" w14:textId="3152602D"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0.0399</w:t>
            </w:r>
          </w:p>
        </w:tc>
        <w:tc>
          <w:tcPr>
            <w:tcW w:w="1155" w:type="dxa"/>
            <w:noWrap/>
            <w:hideMark/>
          </w:tcPr>
          <w:p w14:paraId="31E5D2CD" w14:textId="044CBB3E"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0.0484</w:t>
            </w:r>
          </w:p>
        </w:tc>
        <w:tc>
          <w:tcPr>
            <w:tcW w:w="769" w:type="dxa"/>
            <w:noWrap/>
            <w:hideMark/>
          </w:tcPr>
          <w:p w14:paraId="58D4DA10" w14:textId="4198C456"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0.83</w:t>
            </w:r>
          </w:p>
        </w:tc>
        <w:tc>
          <w:tcPr>
            <w:tcW w:w="1155" w:type="dxa"/>
            <w:noWrap/>
            <w:hideMark/>
          </w:tcPr>
          <w:p w14:paraId="78BE7E9C" w14:textId="49883689"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0.409</w:t>
            </w:r>
          </w:p>
        </w:tc>
        <w:tc>
          <w:tcPr>
            <w:tcW w:w="1282" w:type="dxa"/>
            <w:noWrap/>
            <w:hideMark/>
          </w:tcPr>
          <w:p w14:paraId="3F0C2EF8" w14:textId="01412C6D"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-0.0549</w:t>
            </w:r>
          </w:p>
        </w:tc>
        <w:tc>
          <w:tcPr>
            <w:tcW w:w="1504" w:type="dxa"/>
            <w:noWrap/>
            <w:hideMark/>
          </w:tcPr>
          <w:p w14:paraId="5172A327" w14:textId="2F29B7A4"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0.1348</w:t>
            </w:r>
          </w:p>
        </w:tc>
      </w:tr>
      <w:tr w:rsidR="003E7104" w:rsidRPr="008A2462" w14:paraId="240B35DA" w14:textId="77777777" w:rsidTr="00505D31">
        <w:trPr>
          <w:trHeight w:val="261"/>
        </w:trPr>
        <w:tc>
          <w:tcPr>
            <w:tcW w:w="1668" w:type="dxa"/>
            <w:noWrap/>
            <w:hideMark/>
          </w:tcPr>
          <w:p w14:paraId="6CE13DC3" w14:textId="3521B9B4" w:rsidR="003E7104" w:rsidRPr="00FA2E3E" w:rsidRDefault="0062217F" w:rsidP="00FA2E3E">
            <w:pPr>
              <w:rPr>
                <w:rFonts w:ascii="Calibri" w:eastAsia="Times New Roman" w:hAnsi="Calibri" w:cs="Calibri"/>
                <w:color w:val="000000"/>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1</m:t>
                    </m:r>
                  </m:sub>
                </m:sSub>
              </m:oMath>
            </m:oMathPara>
          </w:p>
        </w:tc>
        <w:tc>
          <w:tcPr>
            <w:tcW w:w="1248" w:type="dxa"/>
            <w:noWrap/>
            <w:hideMark/>
          </w:tcPr>
          <w:p w14:paraId="180B57A1" w14:textId="606EFD2F"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-0.0006</w:t>
            </w:r>
          </w:p>
        </w:tc>
        <w:tc>
          <w:tcPr>
            <w:tcW w:w="1155" w:type="dxa"/>
            <w:noWrap/>
            <w:hideMark/>
          </w:tcPr>
          <w:p w14:paraId="062D83A6" w14:textId="50DBD3EB"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0.0014</w:t>
            </w:r>
          </w:p>
        </w:tc>
        <w:tc>
          <w:tcPr>
            <w:tcW w:w="769" w:type="dxa"/>
            <w:noWrap/>
            <w:hideMark/>
          </w:tcPr>
          <w:p w14:paraId="1B2027B6" w14:textId="558FDD56"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-0.44</w:t>
            </w:r>
          </w:p>
        </w:tc>
        <w:tc>
          <w:tcPr>
            <w:tcW w:w="1155" w:type="dxa"/>
            <w:noWrap/>
            <w:hideMark/>
          </w:tcPr>
          <w:p w14:paraId="3BA031A2" w14:textId="0D4D1D07"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0.663</w:t>
            </w:r>
          </w:p>
        </w:tc>
        <w:tc>
          <w:tcPr>
            <w:tcW w:w="1282" w:type="dxa"/>
            <w:noWrap/>
            <w:hideMark/>
          </w:tcPr>
          <w:p w14:paraId="0B9CD664" w14:textId="7D27CEFC"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-0.0034</w:t>
            </w:r>
          </w:p>
        </w:tc>
        <w:tc>
          <w:tcPr>
            <w:tcW w:w="1504" w:type="dxa"/>
            <w:noWrap/>
            <w:hideMark/>
          </w:tcPr>
          <w:p w14:paraId="1AD97932" w14:textId="5D7EBC88"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0.0022</w:t>
            </w:r>
          </w:p>
        </w:tc>
      </w:tr>
      <w:tr w:rsidR="003E7104" w:rsidRPr="008A2462" w14:paraId="1E56AA87" w14:textId="77777777" w:rsidTr="00505D31">
        <w:trPr>
          <w:trHeight w:val="261"/>
        </w:trPr>
        <w:tc>
          <w:tcPr>
            <w:tcW w:w="1668" w:type="dxa"/>
            <w:noWrap/>
            <w:hideMark/>
          </w:tcPr>
          <w:p w14:paraId="5D1DB8FF" w14:textId="257B2129" w:rsidR="003E7104" w:rsidRPr="00FA2E3E" w:rsidRDefault="0062217F" w:rsidP="00FA2E3E">
            <w:pPr>
              <w:rPr>
                <w:rFonts w:ascii="Calibri" w:eastAsia="Times New Roman" w:hAnsi="Calibri" w:cs="Calibri"/>
                <w:color w:val="000000"/>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2</m:t>
                    </m:r>
                  </m:sub>
                </m:sSub>
              </m:oMath>
            </m:oMathPara>
          </w:p>
        </w:tc>
        <w:tc>
          <w:tcPr>
            <w:tcW w:w="1248" w:type="dxa"/>
            <w:noWrap/>
            <w:hideMark/>
          </w:tcPr>
          <w:p w14:paraId="584EEF71" w14:textId="250CACF8"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-0.0011</w:t>
            </w:r>
          </w:p>
        </w:tc>
        <w:tc>
          <w:tcPr>
            <w:tcW w:w="1155" w:type="dxa"/>
            <w:noWrap/>
            <w:hideMark/>
          </w:tcPr>
          <w:p w14:paraId="6744B5F6" w14:textId="2E440AEE"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0.0018</w:t>
            </w:r>
          </w:p>
        </w:tc>
        <w:tc>
          <w:tcPr>
            <w:tcW w:w="769" w:type="dxa"/>
            <w:noWrap/>
            <w:hideMark/>
          </w:tcPr>
          <w:p w14:paraId="52059E7E" w14:textId="313E4AC1"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-0.64</w:t>
            </w:r>
          </w:p>
        </w:tc>
        <w:tc>
          <w:tcPr>
            <w:tcW w:w="1155" w:type="dxa"/>
            <w:noWrap/>
            <w:hideMark/>
          </w:tcPr>
          <w:p w14:paraId="3C9E38D7" w14:textId="0634EF33"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0.522</w:t>
            </w:r>
          </w:p>
        </w:tc>
        <w:tc>
          <w:tcPr>
            <w:tcW w:w="1282" w:type="dxa"/>
            <w:noWrap/>
            <w:hideMark/>
          </w:tcPr>
          <w:p w14:paraId="1CF76D9E" w14:textId="3C470E3E"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-0.0046</w:t>
            </w:r>
          </w:p>
        </w:tc>
        <w:tc>
          <w:tcPr>
            <w:tcW w:w="1504" w:type="dxa"/>
            <w:noWrap/>
            <w:hideMark/>
          </w:tcPr>
          <w:p w14:paraId="5B35143F" w14:textId="74CC2868"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0.0023</w:t>
            </w:r>
          </w:p>
        </w:tc>
      </w:tr>
      <w:tr w:rsidR="003E7104" w:rsidRPr="008A2462" w14:paraId="6160298B" w14:textId="77777777" w:rsidTr="00505D31">
        <w:trPr>
          <w:trHeight w:val="261"/>
        </w:trPr>
        <w:tc>
          <w:tcPr>
            <w:tcW w:w="1668" w:type="dxa"/>
            <w:noWrap/>
            <w:hideMark/>
          </w:tcPr>
          <w:p w14:paraId="7DD8B742" w14:textId="536424E3" w:rsidR="003E7104" w:rsidRPr="00FA2E3E" w:rsidRDefault="0062217F" w:rsidP="00FA2E3E">
            <w:pPr>
              <w:jc w:val="both"/>
              <w:rPr>
                <w:rFonts w:ascii="Calibri" w:eastAsia="Times New Roman" w:hAnsi="Calibri" w:cs="Calibri"/>
                <w:color w:val="000000"/>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3</m:t>
                    </m:r>
                  </m:sub>
                </m:sSub>
              </m:oMath>
            </m:oMathPara>
          </w:p>
        </w:tc>
        <w:tc>
          <w:tcPr>
            <w:tcW w:w="1248" w:type="dxa"/>
            <w:noWrap/>
            <w:hideMark/>
          </w:tcPr>
          <w:p w14:paraId="7DFB6458" w14:textId="750546A4"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0.0007</w:t>
            </w:r>
          </w:p>
        </w:tc>
        <w:tc>
          <w:tcPr>
            <w:tcW w:w="1155" w:type="dxa"/>
            <w:noWrap/>
            <w:hideMark/>
          </w:tcPr>
          <w:p w14:paraId="30459076" w14:textId="09A65C4E"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0.0010</w:t>
            </w:r>
          </w:p>
        </w:tc>
        <w:tc>
          <w:tcPr>
            <w:tcW w:w="769" w:type="dxa"/>
            <w:noWrap/>
            <w:hideMark/>
          </w:tcPr>
          <w:p w14:paraId="77C3C885" w14:textId="193BE7A5"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0.72</w:t>
            </w:r>
          </w:p>
        </w:tc>
        <w:tc>
          <w:tcPr>
            <w:tcW w:w="1155" w:type="dxa"/>
            <w:noWrap/>
            <w:hideMark/>
          </w:tcPr>
          <w:p w14:paraId="2CF0855D" w14:textId="6AF215F6"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0.472</w:t>
            </w:r>
          </w:p>
        </w:tc>
        <w:tc>
          <w:tcPr>
            <w:tcW w:w="1282" w:type="dxa"/>
            <w:noWrap/>
            <w:hideMark/>
          </w:tcPr>
          <w:p w14:paraId="2238FBC2" w14:textId="3B4ECAA7"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-0.0012</w:t>
            </w:r>
          </w:p>
        </w:tc>
        <w:tc>
          <w:tcPr>
            <w:tcW w:w="1504" w:type="dxa"/>
            <w:noWrap/>
            <w:hideMark/>
          </w:tcPr>
          <w:p w14:paraId="7F1EF313" w14:textId="0774FA2C"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0.0026</w:t>
            </w:r>
          </w:p>
        </w:tc>
      </w:tr>
      <w:tr w:rsidR="003E7104" w:rsidRPr="008A2462" w14:paraId="7DC184DA" w14:textId="77777777" w:rsidTr="00505D31">
        <w:trPr>
          <w:trHeight w:val="261"/>
        </w:trPr>
        <w:tc>
          <w:tcPr>
            <w:tcW w:w="1668" w:type="dxa"/>
            <w:noWrap/>
            <w:hideMark/>
          </w:tcPr>
          <w:p w14:paraId="4126AD43" w14:textId="6D488EE9" w:rsidR="003E7104" w:rsidRPr="00FA2E3E" w:rsidRDefault="0062217F" w:rsidP="00FA2E3E">
            <w:pPr>
              <w:jc w:val="both"/>
              <w:rPr>
                <w:rFonts w:ascii="Calibri" w:eastAsia="Times New Roman" w:hAnsi="Calibri" w:cs="Calibri"/>
                <w:color w:val="000000"/>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4</m:t>
                    </m:r>
                  </m:sub>
                </m:sSub>
              </m:oMath>
            </m:oMathPara>
          </w:p>
        </w:tc>
        <w:tc>
          <w:tcPr>
            <w:tcW w:w="1248" w:type="dxa"/>
            <w:noWrap/>
            <w:hideMark/>
          </w:tcPr>
          <w:p w14:paraId="03D1AF2C" w14:textId="0BA469EE"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0.0025</w:t>
            </w:r>
          </w:p>
        </w:tc>
        <w:tc>
          <w:tcPr>
            <w:tcW w:w="1155" w:type="dxa"/>
            <w:noWrap/>
            <w:hideMark/>
          </w:tcPr>
          <w:p w14:paraId="1E39D792" w14:textId="07F50E4D"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0.0015</w:t>
            </w:r>
          </w:p>
        </w:tc>
        <w:tc>
          <w:tcPr>
            <w:tcW w:w="769" w:type="dxa"/>
            <w:noWrap/>
            <w:hideMark/>
          </w:tcPr>
          <w:p w14:paraId="2C0FB270" w14:textId="28311A87"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1.66</w:t>
            </w:r>
          </w:p>
        </w:tc>
        <w:tc>
          <w:tcPr>
            <w:tcW w:w="1155" w:type="dxa"/>
            <w:noWrap/>
            <w:hideMark/>
          </w:tcPr>
          <w:p w14:paraId="713D4794" w14:textId="1420FB52"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0.098</w:t>
            </w:r>
          </w:p>
        </w:tc>
        <w:tc>
          <w:tcPr>
            <w:tcW w:w="1282" w:type="dxa"/>
            <w:noWrap/>
            <w:hideMark/>
          </w:tcPr>
          <w:p w14:paraId="56EFF140" w14:textId="14A241BE"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-0.0005</w:t>
            </w:r>
          </w:p>
        </w:tc>
        <w:tc>
          <w:tcPr>
            <w:tcW w:w="1504" w:type="dxa"/>
            <w:noWrap/>
            <w:hideMark/>
          </w:tcPr>
          <w:p w14:paraId="4E070116" w14:textId="10BD13A9"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0.0054</w:t>
            </w:r>
          </w:p>
        </w:tc>
      </w:tr>
      <w:tr w:rsidR="003E7104" w:rsidRPr="008A2462" w14:paraId="1F0FC114" w14:textId="77777777" w:rsidTr="00505D31">
        <w:trPr>
          <w:trHeight w:val="261"/>
        </w:trPr>
        <w:tc>
          <w:tcPr>
            <w:tcW w:w="1668" w:type="dxa"/>
            <w:noWrap/>
            <w:hideMark/>
          </w:tcPr>
          <w:p w14:paraId="04129390" w14:textId="02BC547A" w:rsidR="003E7104" w:rsidRPr="00FA2E3E" w:rsidRDefault="0062217F" w:rsidP="00FA2E3E">
            <w:pPr>
              <w:jc w:val="both"/>
              <w:rPr>
                <w:rFonts w:ascii="Calibri" w:eastAsia="Times New Roman" w:hAnsi="Calibri" w:cs="Calibri"/>
                <w:color w:val="000000"/>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5</m:t>
                    </m:r>
                  </m:sub>
                </m:sSub>
              </m:oMath>
            </m:oMathPara>
          </w:p>
        </w:tc>
        <w:tc>
          <w:tcPr>
            <w:tcW w:w="1248" w:type="dxa"/>
            <w:noWrap/>
            <w:hideMark/>
          </w:tcPr>
          <w:p w14:paraId="57B3B23C" w14:textId="057A1465"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0.0000</w:t>
            </w:r>
          </w:p>
        </w:tc>
        <w:tc>
          <w:tcPr>
            <w:tcW w:w="1155" w:type="dxa"/>
            <w:noWrap/>
            <w:hideMark/>
          </w:tcPr>
          <w:p w14:paraId="23C9871C" w14:textId="6F133AFB"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0.0016</w:t>
            </w:r>
          </w:p>
        </w:tc>
        <w:tc>
          <w:tcPr>
            <w:tcW w:w="769" w:type="dxa"/>
            <w:noWrap/>
            <w:hideMark/>
          </w:tcPr>
          <w:p w14:paraId="0550F273" w14:textId="2C138D98"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-0.01</w:t>
            </w:r>
          </w:p>
        </w:tc>
        <w:tc>
          <w:tcPr>
            <w:tcW w:w="1155" w:type="dxa"/>
            <w:noWrap/>
            <w:hideMark/>
          </w:tcPr>
          <w:p w14:paraId="0D71DEE0" w14:textId="7D81ACD1"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0.993</w:t>
            </w:r>
          </w:p>
        </w:tc>
        <w:tc>
          <w:tcPr>
            <w:tcW w:w="1282" w:type="dxa"/>
            <w:noWrap/>
            <w:hideMark/>
          </w:tcPr>
          <w:p w14:paraId="647FFA95" w14:textId="2965B6D6"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-0.0031</w:t>
            </w:r>
          </w:p>
        </w:tc>
        <w:tc>
          <w:tcPr>
            <w:tcW w:w="1504" w:type="dxa"/>
            <w:noWrap/>
            <w:hideMark/>
          </w:tcPr>
          <w:p w14:paraId="1CBD23B6" w14:textId="06E3F290"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0.0031</w:t>
            </w:r>
          </w:p>
        </w:tc>
      </w:tr>
      <w:tr w:rsidR="003E7104" w:rsidRPr="008A2462" w14:paraId="70996F69" w14:textId="77777777" w:rsidTr="00505D31">
        <w:trPr>
          <w:trHeight w:val="261"/>
        </w:trPr>
        <w:tc>
          <w:tcPr>
            <w:tcW w:w="1668" w:type="dxa"/>
            <w:noWrap/>
            <w:hideMark/>
          </w:tcPr>
          <w:p w14:paraId="3A6EEC71" w14:textId="7869D496" w:rsidR="003E7104" w:rsidRPr="00FA2E3E" w:rsidRDefault="0062217F" w:rsidP="00FA2E3E">
            <w:pPr>
              <w:jc w:val="both"/>
              <w:rPr>
                <w:rFonts w:ascii="Calibri" w:eastAsia="Times New Roman" w:hAnsi="Calibri" w:cs="Calibri"/>
                <w:color w:val="000000"/>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6</m:t>
                    </m:r>
                  </m:sub>
                </m:sSub>
              </m:oMath>
            </m:oMathPara>
          </w:p>
        </w:tc>
        <w:tc>
          <w:tcPr>
            <w:tcW w:w="1248" w:type="dxa"/>
            <w:noWrap/>
            <w:hideMark/>
          </w:tcPr>
          <w:p w14:paraId="4C716C2A" w14:textId="504A0758"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-0.0012</w:t>
            </w:r>
          </w:p>
        </w:tc>
        <w:tc>
          <w:tcPr>
            <w:tcW w:w="1155" w:type="dxa"/>
            <w:noWrap/>
            <w:hideMark/>
          </w:tcPr>
          <w:p w14:paraId="364F5B2E" w14:textId="3C10918F"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0.0016</w:t>
            </w:r>
          </w:p>
        </w:tc>
        <w:tc>
          <w:tcPr>
            <w:tcW w:w="769" w:type="dxa"/>
            <w:noWrap/>
            <w:hideMark/>
          </w:tcPr>
          <w:p w14:paraId="1D69B7F9" w14:textId="21AD6A3F"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-0.75</w:t>
            </w:r>
          </w:p>
        </w:tc>
        <w:tc>
          <w:tcPr>
            <w:tcW w:w="1155" w:type="dxa"/>
            <w:noWrap/>
            <w:hideMark/>
          </w:tcPr>
          <w:p w14:paraId="7BC39123" w14:textId="4A0A8DE8"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0.453</w:t>
            </w:r>
          </w:p>
        </w:tc>
        <w:tc>
          <w:tcPr>
            <w:tcW w:w="1282" w:type="dxa"/>
            <w:noWrap/>
            <w:hideMark/>
          </w:tcPr>
          <w:p w14:paraId="18A3E913" w14:textId="2A78E5DA"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-0.0043</w:t>
            </w:r>
          </w:p>
        </w:tc>
        <w:tc>
          <w:tcPr>
            <w:tcW w:w="1504" w:type="dxa"/>
            <w:noWrap/>
            <w:hideMark/>
          </w:tcPr>
          <w:p w14:paraId="63312D08" w14:textId="2EA067FB"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0.0019</w:t>
            </w:r>
          </w:p>
        </w:tc>
      </w:tr>
      <w:tr w:rsidR="003E7104" w:rsidRPr="008A2462" w14:paraId="6EA8759E" w14:textId="77777777" w:rsidTr="00505D31">
        <w:trPr>
          <w:trHeight w:val="261"/>
        </w:trPr>
        <w:tc>
          <w:tcPr>
            <w:tcW w:w="1668" w:type="dxa"/>
            <w:noWrap/>
            <w:hideMark/>
          </w:tcPr>
          <w:p w14:paraId="4953F160" w14:textId="176E7796" w:rsidR="003E7104" w:rsidRPr="008A2462" w:rsidRDefault="003E7104" w:rsidP="003E7104">
            <w:pPr>
              <w:rPr>
                <w:rFonts w:ascii="Calibri" w:eastAsia="Times New Roman" w:hAnsi="Calibri" w:cs="Calibri"/>
                <w:color w:val="000000"/>
              </w:rPr>
            </w:pPr>
            <w:r w:rsidRPr="008A2462">
              <w:rPr>
                <w:rFonts w:ascii="Calibri" w:eastAsia="Times New Roman" w:hAnsi="Calibri" w:cs="Calibri"/>
                <w:color w:val="000000"/>
              </w:rPr>
              <w:t>C</w:t>
            </w:r>
            <w:r>
              <w:rPr>
                <w:rFonts w:ascii="Calibri" w:eastAsia="Times New Roman" w:hAnsi="Calibri" w:cs="Calibri"/>
                <w:color w:val="000000"/>
              </w:rPr>
              <w:t>hile</w:t>
            </w:r>
            <w:r w:rsidR="007B528F">
              <w:rPr>
                <w:rFonts w:ascii="Calibri" w:eastAsia="Times New Roman" w:hAnsi="Calibri" w:cs="Calibri"/>
                <w:color w:val="000000"/>
              </w:rPr>
              <w:t xml:space="preserve"> </w:t>
            </w:r>
            <w:r w:rsidR="007B528F" w:rsidRPr="008A2462">
              <w:rPr>
                <w:rFonts w:ascii="Calibri" w:eastAsia="Times New Roman" w:hAnsi="Calibri" w:cs="Calibri"/>
                <w:color w:val="000000"/>
              </w:rPr>
              <w:t>I</w:t>
            </w:r>
            <w:r w:rsidR="007B528F">
              <w:rPr>
                <w:rFonts w:ascii="Calibri" w:eastAsia="Times New Roman" w:hAnsi="Calibri" w:cs="Calibri"/>
                <w:color w:val="000000"/>
              </w:rPr>
              <w:t>nf</w:t>
            </w:r>
            <w:r w:rsidR="007B528F" w:rsidRPr="008A2462">
              <w:rPr>
                <w:rFonts w:ascii="Calibri" w:eastAsia="Times New Roman" w:hAnsi="Calibri" w:cs="Calibri"/>
                <w:color w:val="000000"/>
              </w:rPr>
              <w:t xml:space="preserve">. </w:t>
            </w:r>
            <w:r>
              <w:rPr>
                <w:rFonts w:ascii="Calibri" w:eastAsia="Times New Roman" w:hAnsi="Calibri" w:cs="Calibri"/>
                <w:color w:val="000000"/>
              </w:rPr>
              <w:t xml:space="preserve"> </w:t>
            </w:r>
            <m:oMath>
              <m:sSub>
                <m:sSubPr>
                  <m:ctrlPr>
                    <w:rPr>
                      <w:rFonts w:ascii="Cambria Math" w:eastAsiaTheme="minorEastAsia" w:hAnsi="Cambria Math"/>
                      <w:iCs/>
                      <w:sz w:val="24"/>
                      <w:szCs w:val="24"/>
                      <w:lang w:val="es-CL"/>
                    </w:rPr>
                  </m:ctrlPr>
                </m:sSubPr>
                <m:e>
                  <m:r>
                    <m:rPr>
                      <m:sty m:val="p"/>
                    </m:rPr>
                    <w:rPr>
                      <w:rFonts w:ascii="Cambria Math" w:eastAsiaTheme="minorEastAsia" w:hAnsi="Cambria Math"/>
                      <w:sz w:val="24"/>
                      <w:szCs w:val="24"/>
                      <w:lang w:val="es-CL"/>
                    </w:rPr>
                    <m:t>L</m:t>
                  </m:r>
                </m:e>
                <m:sub>
                  <m:r>
                    <w:rPr>
                      <w:rFonts w:ascii="Cambria Math" w:eastAsiaTheme="minorEastAsia" w:hAnsi="Cambria Math"/>
                      <w:sz w:val="24"/>
                      <w:szCs w:val="24"/>
                      <w:lang w:val="es-CL"/>
                    </w:rPr>
                    <m:t>1</m:t>
                  </m:r>
                </m:sub>
              </m:sSub>
            </m:oMath>
          </w:p>
        </w:tc>
        <w:tc>
          <w:tcPr>
            <w:tcW w:w="1248" w:type="dxa"/>
            <w:noWrap/>
            <w:hideMark/>
          </w:tcPr>
          <w:p w14:paraId="345FCECF" w14:textId="59BB60DA"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0.3299</w:t>
            </w:r>
          </w:p>
        </w:tc>
        <w:tc>
          <w:tcPr>
            <w:tcW w:w="1155" w:type="dxa"/>
            <w:noWrap/>
            <w:hideMark/>
          </w:tcPr>
          <w:p w14:paraId="5A8DBA5B" w14:textId="28E8FE33"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0.0701</w:t>
            </w:r>
          </w:p>
        </w:tc>
        <w:tc>
          <w:tcPr>
            <w:tcW w:w="769" w:type="dxa"/>
            <w:noWrap/>
            <w:hideMark/>
          </w:tcPr>
          <w:p w14:paraId="0A332920" w14:textId="1C944B6A"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4.71</w:t>
            </w:r>
          </w:p>
        </w:tc>
        <w:tc>
          <w:tcPr>
            <w:tcW w:w="1155" w:type="dxa"/>
            <w:noWrap/>
            <w:hideMark/>
          </w:tcPr>
          <w:p w14:paraId="67BD71F6" w14:textId="167D36D2"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w:t>
            </w:r>
          </w:p>
        </w:tc>
        <w:tc>
          <w:tcPr>
            <w:tcW w:w="1282" w:type="dxa"/>
            <w:noWrap/>
            <w:hideMark/>
          </w:tcPr>
          <w:p w14:paraId="69C9D331" w14:textId="6E26A8D3"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0.1926</w:t>
            </w:r>
          </w:p>
        </w:tc>
        <w:tc>
          <w:tcPr>
            <w:tcW w:w="1504" w:type="dxa"/>
            <w:noWrap/>
            <w:hideMark/>
          </w:tcPr>
          <w:p w14:paraId="7EB7DD0F" w14:textId="742B4010"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0.4673</w:t>
            </w:r>
          </w:p>
        </w:tc>
      </w:tr>
      <w:tr w:rsidR="003E7104" w:rsidRPr="008A2462" w14:paraId="0E5D09E2" w14:textId="77777777" w:rsidTr="00505D31">
        <w:trPr>
          <w:trHeight w:val="261"/>
        </w:trPr>
        <w:tc>
          <w:tcPr>
            <w:tcW w:w="1668" w:type="dxa"/>
            <w:noWrap/>
            <w:hideMark/>
          </w:tcPr>
          <w:p w14:paraId="4FB52143" w14:textId="5DED1DC9" w:rsidR="003E7104" w:rsidRPr="008E7809" w:rsidRDefault="0062217F" w:rsidP="003E7104">
            <w:pPr>
              <w:rPr>
                <w:rFonts w:ascii="Calibri" w:eastAsia="Times New Roman" w:hAnsi="Calibri" w:cs="Calibri"/>
                <w:color w:val="000000"/>
              </w:rPr>
            </w:pPr>
            <m:oMathPara>
              <m:oMathParaPr>
                <m:jc m:val="left"/>
              </m:oMathParaPr>
              <m:oMath>
                <m:sSub>
                  <m:sSubPr>
                    <m:ctrlPr>
                      <w:rPr>
                        <w:rFonts w:ascii="Cambria Math" w:eastAsia="Times New Roman" w:hAnsi="Cambria Math" w:cs="Calibri"/>
                        <w:i/>
                        <w:color w:val="000000" w:themeColor="text1"/>
                        <w:lang w:val="es-CL"/>
                      </w:rPr>
                    </m:ctrlPr>
                  </m:sSubPr>
                  <m:e>
                    <m:r>
                      <w:rPr>
                        <w:rFonts w:ascii="Cambria Math" w:eastAsia="Times New Roman" w:hAnsi="Cambria Math" w:cs="Calibri"/>
                        <w:color w:val="000000" w:themeColor="text1"/>
                      </w:rPr>
                      <m:t>γ</m:t>
                    </m:r>
                  </m:e>
                  <m:sub>
                    <m:r>
                      <w:rPr>
                        <w:rFonts w:ascii="Cambria Math" w:eastAsia="Times New Roman" w:hAnsi="Cambria Math" w:cs="Calibri"/>
                        <w:color w:val="000000" w:themeColor="text1"/>
                      </w:rPr>
                      <m:t>0</m:t>
                    </m:r>
                  </m:sub>
                </m:sSub>
              </m:oMath>
            </m:oMathPara>
          </w:p>
        </w:tc>
        <w:tc>
          <w:tcPr>
            <w:tcW w:w="1248" w:type="dxa"/>
            <w:noWrap/>
            <w:hideMark/>
          </w:tcPr>
          <w:p w14:paraId="72C9F2B6" w14:textId="1DBF509D"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0.0005</w:t>
            </w:r>
          </w:p>
        </w:tc>
        <w:tc>
          <w:tcPr>
            <w:tcW w:w="1155" w:type="dxa"/>
            <w:noWrap/>
            <w:hideMark/>
          </w:tcPr>
          <w:p w14:paraId="4871151F" w14:textId="220E6B0C"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0.0003</w:t>
            </w:r>
          </w:p>
        </w:tc>
        <w:tc>
          <w:tcPr>
            <w:tcW w:w="769" w:type="dxa"/>
            <w:noWrap/>
            <w:hideMark/>
          </w:tcPr>
          <w:p w14:paraId="35441A68" w14:textId="507EC82D"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1.76</w:t>
            </w:r>
          </w:p>
        </w:tc>
        <w:tc>
          <w:tcPr>
            <w:tcW w:w="1155" w:type="dxa"/>
            <w:noWrap/>
            <w:hideMark/>
          </w:tcPr>
          <w:p w14:paraId="10B5E0F3" w14:textId="6125C9E4"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0.079</w:t>
            </w:r>
          </w:p>
        </w:tc>
        <w:tc>
          <w:tcPr>
            <w:tcW w:w="1282" w:type="dxa"/>
            <w:noWrap/>
            <w:hideMark/>
          </w:tcPr>
          <w:p w14:paraId="2C838399" w14:textId="191F1414"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-0.0001</w:t>
            </w:r>
          </w:p>
        </w:tc>
        <w:tc>
          <w:tcPr>
            <w:tcW w:w="1504" w:type="dxa"/>
            <w:noWrap/>
            <w:hideMark/>
          </w:tcPr>
          <w:p w14:paraId="4C5C5CB3" w14:textId="5FA9AF33" w:rsidR="003E7104" w:rsidRPr="003E7104" w:rsidRDefault="003E7104" w:rsidP="003E7104">
            <w:pPr>
              <w:jc w:val="center"/>
              <w:rPr>
                <w:rFonts w:ascii="Calibri" w:eastAsia="Times New Roman" w:hAnsi="Calibri" w:cs="Calibri"/>
                <w:color w:val="000000"/>
              </w:rPr>
            </w:pPr>
            <w:r w:rsidRPr="003E7104">
              <w:rPr>
                <w:rFonts w:ascii="Calibri" w:hAnsi="Calibri" w:cs="Calibri"/>
                <w:color w:val="000000"/>
              </w:rPr>
              <w:t>0.0011</w:t>
            </w:r>
          </w:p>
        </w:tc>
      </w:tr>
    </w:tbl>
    <w:p w14:paraId="056E33D1" w14:textId="406B969E" w:rsidR="00392569" w:rsidRDefault="00392569" w:rsidP="00505D31">
      <w:pPr>
        <w:jc w:val="both"/>
        <w:rPr>
          <w:rFonts w:eastAsiaTheme="minorEastAsia"/>
          <w:sz w:val="24"/>
          <w:szCs w:val="24"/>
          <w:lang w:val="es-CL"/>
        </w:rPr>
      </w:pPr>
    </w:p>
    <w:p w14:paraId="37135A52" w14:textId="1D05A648" w:rsidR="00775C19" w:rsidRPr="003B6C66" w:rsidRDefault="00775C19" w:rsidP="00505D31">
      <w:pPr>
        <w:jc w:val="both"/>
        <w:rPr>
          <w:rFonts w:eastAsiaTheme="minorEastAsia"/>
          <w:sz w:val="24"/>
          <w:szCs w:val="24"/>
        </w:rPr>
      </w:pPr>
      <w:r w:rsidRPr="003B6C66">
        <w:rPr>
          <w:rFonts w:eastAsiaTheme="minorEastAsia"/>
          <w:sz w:val="24"/>
          <w:szCs w:val="24"/>
        </w:rPr>
        <w:t xml:space="preserve">Where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L</m:t>
            </m:r>
          </m:e>
          <m:sub>
            <m:r>
              <w:rPr>
                <w:rFonts w:ascii="Cambria Math" w:eastAsiaTheme="minorEastAsia" w:hAnsi="Cambria Math"/>
                <w:sz w:val="24"/>
                <w:szCs w:val="24"/>
                <w:lang w:val="es-CL"/>
              </w:rPr>
              <m:t>i</m:t>
            </m:r>
          </m:sub>
        </m:sSub>
        <m:d>
          <m:dPr>
            <m:ctrlPr>
              <w:rPr>
                <w:rFonts w:ascii="Cambria Math" w:eastAsiaTheme="minorEastAsia" w:hAnsi="Cambria Math"/>
                <w:i/>
                <w:sz w:val="24"/>
                <w:szCs w:val="24"/>
                <w:lang w:val="es-CL"/>
              </w:rPr>
            </m:ctrlPr>
          </m:dPr>
          <m:e>
            <m:r>
              <w:rPr>
                <w:rFonts w:ascii="Cambria Math" w:eastAsiaTheme="minorEastAsia" w:hAnsi="Cambria Math"/>
                <w:sz w:val="24"/>
                <w:szCs w:val="24"/>
                <w:lang w:val="es-CL"/>
              </w:rPr>
              <m:t>i</m:t>
            </m:r>
            <m:r>
              <w:rPr>
                <w:rFonts w:ascii="Cambria Math" w:eastAsiaTheme="minorEastAsia" w:hAnsi="Cambria Math"/>
                <w:sz w:val="24"/>
                <w:szCs w:val="24"/>
              </w:rPr>
              <m:t>=1,2,…</m:t>
            </m:r>
            <m:r>
              <w:rPr>
                <w:rFonts w:ascii="Cambria Math" w:eastAsiaTheme="minorEastAsia" w:hAnsi="Cambria Math"/>
                <w:sz w:val="24"/>
                <w:szCs w:val="24"/>
                <w:lang w:val="es-CL"/>
              </w:rPr>
              <m:t>n</m:t>
            </m:r>
          </m:e>
        </m:d>
      </m:oMath>
      <w:r w:rsidRPr="003B6C66">
        <w:rPr>
          <w:rFonts w:eastAsiaTheme="minorEastAsia"/>
          <w:sz w:val="24"/>
          <w:szCs w:val="24"/>
        </w:rPr>
        <w:t xml:space="preserve"> denotes the lag number </w:t>
      </w:r>
      <m:oMath>
        <m:r>
          <w:rPr>
            <w:rFonts w:ascii="Cambria Math" w:eastAsiaTheme="minorEastAsia" w:hAnsi="Cambria Math"/>
            <w:sz w:val="24"/>
            <w:szCs w:val="24"/>
            <w:lang w:val="es-CL"/>
          </w:rPr>
          <m:t>i</m:t>
        </m:r>
        <m:r>
          <w:rPr>
            <w:rFonts w:ascii="Cambria Math" w:eastAsiaTheme="minorEastAsia" w:hAnsi="Cambria Math"/>
            <w:sz w:val="24"/>
            <w:szCs w:val="24"/>
          </w:rPr>
          <m:t xml:space="preserve"> </m:t>
        </m:r>
      </m:oMath>
      <w:r w:rsidRPr="003B6C66">
        <w:rPr>
          <w:rFonts w:eastAsiaTheme="minorEastAsia"/>
          <w:sz w:val="24"/>
          <w:szCs w:val="24"/>
        </w:rPr>
        <w:t>of the corresponding variable. Relevant aspects of the results of Table 1 are the following: first, the importance of external inflation, especially that of the US, is very high and significant. Second, the exchange rate is another variable that plays a quantitatively important and significant role. Thirdly, the low significance of the demand variables is striking, with the exception of the coefficient of the constant, which can be interpreted as the effect of the variation in demand in normal periods, which is barely significant at 90%. The</w:t>
      </w:r>
      <w:r w:rsidR="00BE1DDA" w:rsidRPr="003B6C66">
        <w:rPr>
          <w:rFonts w:eastAsiaTheme="minorEastAsia"/>
          <w:sz w:val="24"/>
          <w:szCs w:val="24"/>
        </w:rPr>
        <w:t xml:space="preserve"> dummy variables</w:t>
      </w:r>
      <w:r w:rsidRPr="003B6C66">
        <w:rPr>
          <w:rFonts w:eastAsiaTheme="minorEastAsia"/>
          <w:sz w:val="24"/>
          <w:szCs w:val="24"/>
        </w:rPr>
        <w:t xml:space="preserve"> that capture possible inflationary changes due to acceleration in demand in particular periods are</w:t>
      </w:r>
      <w:r w:rsidR="00BE1DDA" w:rsidRPr="003B6C66">
        <w:rPr>
          <w:rFonts w:eastAsiaTheme="minorEastAsia"/>
          <w:sz w:val="24"/>
          <w:szCs w:val="24"/>
        </w:rPr>
        <w:t xml:space="preserve"> generally</w:t>
      </w:r>
      <w:r w:rsidR="00EF4DEB" w:rsidRPr="003B6C66">
        <w:rPr>
          <w:rFonts w:eastAsiaTheme="minorEastAsia"/>
          <w:sz w:val="24"/>
          <w:szCs w:val="24"/>
        </w:rPr>
        <w:t xml:space="preserve"> not</w:t>
      </w:r>
      <w:r w:rsidRPr="003B6C66">
        <w:rPr>
          <w:rFonts w:eastAsiaTheme="minorEastAsia"/>
          <w:sz w:val="24"/>
          <w:szCs w:val="24"/>
        </w:rPr>
        <w:t xml:space="preserve"> significant, with the sole exception of dummy 4, which captures the effect of the first AFP withdrawal and the first social subsidies that occurred between August and December 2020. In any case, its effect is barely significant at 90%.</w:t>
      </w:r>
    </w:p>
    <w:p w14:paraId="41128B3C" w14:textId="19FFBC58" w:rsidR="00E972CC" w:rsidRPr="003B6C66" w:rsidRDefault="00E972CC" w:rsidP="00505D31">
      <w:pPr>
        <w:jc w:val="both"/>
        <w:rPr>
          <w:rFonts w:eastAsiaTheme="minorEastAsia"/>
          <w:b/>
          <w:bCs/>
          <w:sz w:val="24"/>
          <w:szCs w:val="24"/>
        </w:rPr>
      </w:pPr>
      <w:r w:rsidRPr="003B6C66">
        <w:rPr>
          <w:rFonts w:eastAsiaTheme="minorEastAsia"/>
          <w:sz w:val="24"/>
          <w:szCs w:val="24"/>
        </w:rPr>
        <w:t xml:space="preserve">An interpretation of the demand estimators in Table 1 is </w:t>
      </w:r>
      <w:r w:rsidRPr="003B6C66">
        <w:rPr>
          <w:rFonts w:eastAsiaTheme="minorEastAsia"/>
          <w:b/>
          <w:bCs/>
          <w:sz w:val="24"/>
          <w:szCs w:val="24"/>
        </w:rPr>
        <w:t xml:space="preserve">that the increases in demand in normal periods explain on average around 0.05% </w:t>
      </w:r>
      <w:r w:rsidR="00584568">
        <w:rPr>
          <w:rFonts w:eastAsiaTheme="minorEastAsia"/>
          <w:b/>
          <w:bCs/>
          <w:sz w:val="24"/>
          <w:szCs w:val="24"/>
        </w:rPr>
        <w:t xml:space="preserve">inflation </w:t>
      </w:r>
      <w:r w:rsidRPr="003B6C66">
        <w:rPr>
          <w:rFonts w:eastAsiaTheme="minorEastAsia"/>
          <w:b/>
          <w:bCs/>
          <w:sz w:val="24"/>
          <w:szCs w:val="24"/>
        </w:rPr>
        <w:t xml:space="preserve">per month when the average </w:t>
      </w:r>
      <w:r w:rsidR="00584568">
        <w:rPr>
          <w:rFonts w:eastAsiaTheme="minorEastAsia"/>
          <w:b/>
          <w:bCs/>
          <w:sz w:val="24"/>
          <w:szCs w:val="24"/>
        </w:rPr>
        <w:t xml:space="preserve">monthly </w:t>
      </w:r>
      <w:r w:rsidRPr="003B6C66">
        <w:rPr>
          <w:rFonts w:eastAsiaTheme="minorEastAsia"/>
          <w:b/>
          <w:bCs/>
          <w:sz w:val="24"/>
          <w:szCs w:val="24"/>
        </w:rPr>
        <w:t>inflation in normal periods reached 0.29%, that is, increases in demand explain 17% of</w:t>
      </w:r>
      <w:r w:rsidR="006701E3">
        <w:rPr>
          <w:rFonts w:eastAsiaTheme="minorEastAsia"/>
          <w:b/>
          <w:bCs/>
          <w:sz w:val="24"/>
          <w:szCs w:val="24"/>
        </w:rPr>
        <w:t xml:space="preserve"> the</w:t>
      </w:r>
      <w:r w:rsidRPr="003B6C66">
        <w:rPr>
          <w:rFonts w:eastAsiaTheme="minorEastAsia"/>
          <w:b/>
          <w:bCs/>
          <w:sz w:val="24"/>
          <w:szCs w:val="24"/>
        </w:rPr>
        <w:t xml:space="preserve"> inflation in normal periods. Thereby, although the effect of normal demand growth would have some effect on inflation, the effect of demand in exceptional periods, captured by the </w:t>
      </w:r>
      <w:r w:rsidR="0006251A" w:rsidRPr="003B6C66">
        <w:rPr>
          <w:rFonts w:eastAsiaTheme="minorEastAsia"/>
          <w:b/>
          <w:bCs/>
          <w:sz w:val="24"/>
          <w:szCs w:val="24"/>
        </w:rPr>
        <w:t>six</w:t>
      </w:r>
      <w:r w:rsidRPr="003B6C66">
        <w:rPr>
          <w:rFonts w:eastAsiaTheme="minorEastAsia"/>
          <w:b/>
          <w:bCs/>
          <w:sz w:val="24"/>
          <w:szCs w:val="24"/>
        </w:rPr>
        <w:t xml:space="preserve"> dummy variables, does not seem to have played an</w:t>
      </w:r>
      <w:r w:rsidR="007879F0">
        <w:rPr>
          <w:rFonts w:eastAsiaTheme="minorEastAsia"/>
          <w:b/>
          <w:bCs/>
          <w:sz w:val="24"/>
          <w:szCs w:val="24"/>
        </w:rPr>
        <w:t>y</w:t>
      </w:r>
      <w:r w:rsidRPr="003B6C66">
        <w:rPr>
          <w:rFonts w:eastAsiaTheme="minorEastAsia"/>
          <w:b/>
          <w:bCs/>
          <w:sz w:val="24"/>
          <w:szCs w:val="24"/>
        </w:rPr>
        <w:t xml:space="preserve"> additional role in explaining the inflation.</w:t>
      </w:r>
    </w:p>
    <w:p w14:paraId="7123B71F" w14:textId="5F6A9130" w:rsidR="00CB0802" w:rsidRPr="003B6C66" w:rsidRDefault="003F5DA3" w:rsidP="00E3292E">
      <w:pPr>
        <w:jc w:val="both"/>
        <w:rPr>
          <w:rFonts w:eastAsiaTheme="minorEastAsia"/>
          <w:sz w:val="24"/>
          <w:szCs w:val="24"/>
        </w:rPr>
      </w:pPr>
      <w:r w:rsidRPr="003B6C66">
        <w:rPr>
          <w:rFonts w:eastAsiaTheme="minorEastAsia"/>
          <w:sz w:val="24"/>
          <w:szCs w:val="24"/>
        </w:rPr>
        <w:t>However, the estimates in Table 1 show only the direct effect of these variables on inflation by keeping the exchange rate constant. It is possible that a significant part of the inflationary effect of some of these variables and of demand occurs through its effect on the exchange rate. We capture these indirect effects through the first stage of the TSLS estimation that we present below. Table 2 shows the estimat</w:t>
      </w:r>
      <w:r w:rsidR="0023637A" w:rsidRPr="003B6C66">
        <w:rPr>
          <w:rFonts w:eastAsiaTheme="minorEastAsia"/>
          <w:sz w:val="24"/>
          <w:szCs w:val="24"/>
        </w:rPr>
        <w:t>ors</w:t>
      </w:r>
      <w:r w:rsidRPr="003B6C66">
        <w:rPr>
          <w:rFonts w:eastAsiaTheme="minorEastAsia"/>
          <w:sz w:val="24"/>
          <w:szCs w:val="24"/>
        </w:rPr>
        <w:t xml:space="preserve"> of the first stage of the TSLS regression where the exchange rate is the variable that is explained based on the exogenous variables plus the instruments.</w:t>
      </w:r>
    </w:p>
    <w:p w14:paraId="1650DA99" w14:textId="5C00F9E3" w:rsidR="00E3292E" w:rsidRDefault="00E3292E" w:rsidP="00E3292E">
      <w:pPr>
        <w:jc w:val="both"/>
        <w:rPr>
          <w:rFonts w:eastAsiaTheme="minorEastAsia"/>
          <w:sz w:val="24"/>
          <w:szCs w:val="24"/>
        </w:rPr>
      </w:pPr>
    </w:p>
    <w:p w14:paraId="2C7F6357" w14:textId="77777777" w:rsidR="006701E3" w:rsidRPr="003B6C66" w:rsidRDefault="006701E3" w:rsidP="00E3292E">
      <w:pPr>
        <w:jc w:val="both"/>
        <w:rPr>
          <w:rFonts w:eastAsiaTheme="minorEastAsia"/>
          <w:sz w:val="24"/>
          <w:szCs w:val="24"/>
        </w:rPr>
      </w:pPr>
    </w:p>
    <w:p w14:paraId="1FA4B35F" w14:textId="0C81F86A" w:rsidR="00CB0802" w:rsidRPr="003B6C66" w:rsidRDefault="00CB0802" w:rsidP="00CB0802">
      <w:pPr>
        <w:rPr>
          <w:rFonts w:eastAsiaTheme="minorEastAsia"/>
          <w:b/>
          <w:bCs/>
          <w:sz w:val="24"/>
          <w:szCs w:val="24"/>
        </w:rPr>
      </w:pPr>
      <w:r w:rsidRPr="003B6C66">
        <w:rPr>
          <w:rFonts w:eastAsiaTheme="minorEastAsia"/>
          <w:b/>
          <w:bCs/>
          <w:sz w:val="24"/>
          <w:szCs w:val="24"/>
        </w:rPr>
        <w:lastRenderedPageBreak/>
        <w:t>Table 2. Estimators of the first stage: The exchange rate</w:t>
      </w:r>
    </w:p>
    <w:tbl>
      <w:tblPr>
        <w:tblStyle w:val="Tablanormal1"/>
        <w:tblW w:w="4034" w:type="dxa"/>
        <w:tblLook w:val="04A0" w:firstRow="1" w:lastRow="0" w:firstColumn="1" w:lastColumn="0" w:noHBand="0" w:noVBand="1"/>
      </w:tblPr>
      <w:tblGrid>
        <w:gridCol w:w="2697"/>
        <w:gridCol w:w="1337"/>
      </w:tblGrid>
      <w:tr w:rsidR="005C287B" w:rsidRPr="006E3F64" w14:paraId="5E73C300" w14:textId="77777777" w:rsidTr="00505D31">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697" w:type="dxa"/>
            <w:shd w:val="clear" w:color="auto" w:fill="D9E2F3" w:themeFill="accent1" w:themeFillTint="33"/>
            <w:noWrap/>
            <w:hideMark/>
          </w:tcPr>
          <w:p w14:paraId="1E9D368C" w14:textId="4D10BBC0" w:rsidR="005C287B" w:rsidRPr="006E3F64" w:rsidRDefault="005C287B" w:rsidP="007704B6">
            <w:pPr>
              <w:rPr>
                <w:rFonts w:ascii="Calibri" w:eastAsia="Times New Roman" w:hAnsi="Calibri" w:cs="Calibri"/>
                <w:color w:val="000000"/>
              </w:rPr>
            </w:pPr>
            <w:r w:rsidRPr="006E3F64">
              <w:rPr>
                <w:rFonts w:ascii="Calibri" w:eastAsia="Times New Roman" w:hAnsi="Calibri" w:cs="Calibri"/>
                <w:color w:val="000000"/>
              </w:rPr>
              <w:t>N</w:t>
            </w:r>
            <w:r w:rsidR="004F4AE3">
              <w:rPr>
                <w:rFonts w:ascii="Calibri" w:eastAsia="Times New Roman" w:hAnsi="Calibri" w:cs="Calibri"/>
                <w:color w:val="000000"/>
              </w:rPr>
              <w:t>umber of</w:t>
            </w:r>
            <w:r w:rsidRPr="006E3F64">
              <w:rPr>
                <w:rFonts w:ascii="Calibri" w:eastAsia="Times New Roman" w:hAnsi="Calibri" w:cs="Calibri"/>
                <w:color w:val="000000"/>
              </w:rPr>
              <w:t xml:space="preserve"> observa</w:t>
            </w:r>
            <w:r w:rsidR="004F4AE3">
              <w:rPr>
                <w:rFonts w:ascii="Calibri" w:eastAsia="Times New Roman" w:hAnsi="Calibri" w:cs="Calibri"/>
                <w:color w:val="000000"/>
              </w:rPr>
              <w:t>tions</w:t>
            </w:r>
          </w:p>
        </w:tc>
        <w:tc>
          <w:tcPr>
            <w:tcW w:w="1337" w:type="dxa"/>
            <w:shd w:val="clear" w:color="auto" w:fill="FFFFFF" w:themeFill="background1"/>
            <w:noWrap/>
            <w:hideMark/>
          </w:tcPr>
          <w:p w14:paraId="104266F0" w14:textId="77777777" w:rsidR="005C287B" w:rsidRPr="00913C75" w:rsidRDefault="005C287B" w:rsidP="007704B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sidRPr="00913C75">
              <w:rPr>
                <w:rFonts w:ascii="Calibri" w:eastAsia="Times New Roman" w:hAnsi="Calibri" w:cs="Calibri"/>
                <w:b w:val="0"/>
                <w:bCs w:val="0"/>
                <w:color w:val="000000"/>
              </w:rPr>
              <w:t>261</w:t>
            </w:r>
          </w:p>
        </w:tc>
      </w:tr>
      <w:tr w:rsidR="005C287B" w:rsidRPr="006E3F64" w14:paraId="09F5E2E8" w14:textId="77777777" w:rsidTr="00505D31">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697" w:type="dxa"/>
            <w:shd w:val="clear" w:color="auto" w:fill="D9E2F3" w:themeFill="accent1" w:themeFillTint="33"/>
            <w:noWrap/>
            <w:hideMark/>
          </w:tcPr>
          <w:p w14:paraId="1A0CD196" w14:textId="77777777" w:rsidR="005C287B" w:rsidRPr="006E3F64" w:rsidRDefault="005C287B" w:rsidP="007704B6">
            <w:pPr>
              <w:rPr>
                <w:rFonts w:ascii="Calibri" w:eastAsia="Times New Roman" w:hAnsi="Calibri" w:cs="Calibri"/>
                <w:color w:val="000000"/>
              </w:rPr>
            </w:pPr>
            <w:r w:rsidRPr="006E3F64">
              <w:rPr>
                <w:rFonts w:ascii="Calibri" w:eastAsia="Times New Roman" w:hAnsi="Calibri" w:cs="Calibri"/>
                <w:color w:val="000000"/>
              </w:rPr>
              <w:t>F(13, 247)</w:t>
            </w:r>
          </w:p>
        </w:tc>
        <w:tc>
          <w:tcPr>
            <w:tcW w:w="1337" w:type="dxa"/>
            <w:shd w:val="clear" w:color="auto" w:fill="FFFFFF" w:themeFill="background1"/>
            <w:noWrap/>
            <w:hideMark/>
          </w:tcPr>
          <w:p w14:paraId="78D12142" w14:textId="77777777" w:rsidR="005C287B" w:rsidRPr="006E3F64" w:rsidRDefault="005C287B" w:rsidP="007704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6E3F64">
              <w:rPr>
                <w:rFonts w:ascii="Calibri" w:eastAsia="Times New Roman" w:hAnsi="Calibri" w:cs="Calibri"/>
                <w:color w:val="000000"/>
              </w:rPr>
              <w:t>4.99</w:t>
            </w:r>
          </w:p>
        </w:tc>
      </w:tr>
      <w:tr w:rsidR="005C287B" w:rsidRPr="006E3F64" w14:paraId="093899F2" w14:textId="77777777" w:rsidTr="00505D31">
        <w:trPr>
          <w:trHeight w:val="279"/>
        </w:trPr>
        <w:tc>
          <w:tcPr>
            <w:cnfStyle w:val="001000000000" w:firstRow="0" w:lastRow="0" w:firstColumn="1" w:lastColumn="0" w:oddVBand="0" w:evenVBand="0" w:oddHBand="0" w:evenHBand="0" w:firstRowFirstColumn="0" w:firstRowLastColumn="0" w:lastRowFirstColumn="0" w:lastRowLastColumn="0"/>
            <w:tcW w:w="2697" w:type="dxa"/>
            <w:shd w:val="clear" w:color="auto" w:fill="D9E2F3" w:themeFill="accent1" w:themeFillTint="33"/>
            <w:noWrap/>
            <w:hideMark/>
          </w:tcPr>
          <w:p w14:paraId="390E908F" w14:textId="77777777" w:rsidR="005C287B" w:rsidRPr="006E3F64" w:rsidRDefault="005C287B" w:rsidP="007704B6">
            <w:pPr>
              <w:rPr>
                <w:rFonts w:ascii="Calibri" w:eastAsia="Times New Roman" w:hAnsi="Calibri" w:cs="Calibri"/>
                <w:color w:val="000000"/>
              </w:rPr>
            </w:pPr>
            <w:r w:rsidRPr="006E3F64">
              <w:rPr>
                <w:rFonts w:ascii="Calibri" w:eastAsia="Times New Roman" w:hAnsi="Calibri" w:cs="Calibri"/>
                <w:color w:val="000000"/>
              </w:rPr>
              <w:t>Prob &gt; F</w:t>
            </w:r>
          </w:p>
        </w:tc>
        <w:tc>
          <w:tcPr>
            <w:tcW w:w="1337" w:type="dxa"/>
            <w:shd w:val="clear" w:color="auto" w:fill="FFFFFF" w:themeFill="background1"/>
            <w:noWrap/>
            <w:hideMark/>
          </w:tcPr>
          <w:p w14:paraId="7ECC9337" w14:textId="77777777" w:rsidR="005C287B" w:rsidRPr="006E3F64" w:rsidRDefault="005C287B" w:rsidP="007704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6E3F64">
              <w:rPr>
                <w:rFonts w:ascii="Calibri" w:eastAsia="Times New Roman" w:hAnsi="Calibri" w:cs="Calibri"/>
                <w:color w:val="000000"/>
              </w:rPr>
              <w:t>0.0000</w:t>
            </w:r>
          </w:p>
        </w:tc>
      </w:tr>
      <w:tr w:rsidR="005C287B" w:rsidRPr="006E3F64" w14:paraId="1EA198FF" w14:textId="77777777" w:rsidTr="00505D31">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697" w:type="dxa"/>
            <w:shd w:val="clear" w:color="auto" w:fill="D9E2F3" w:themeFill="accent1" w:themeFillTint="33"/>
            <w:noWrap/>
            <w:hideMark/>
          </w:tcPr>
          <w:p w14:paraId="5B76A138" w14:textId="5149D365" w:rsidR="005C287B" w:rsidRPr="00913C75" w:rsidRDefault="005C287B" w:rsidP="007704B6">
            <w:pPr>
              <w:rPr>
                <w:rFonts w:ascii="Calibri" w:eastAsia="Times New Roman" w:hAnsi="Calibri" w:cs="Calibri"/>
                <w:color w:val="000000"/>
              </w:rPr>
            </w:pPr>
            <w:r w:rsidRPr="00913C75">
              <w:rPr>
                <w:rFonts w:ascii="Calibri" w:eastAsia="Times New Roman" w:hAnsi="Calibri" w:cs="Calibri"/>
                <w:color w:val="000000"/>
              </w:rPr>
              <w:t>R-</w:t>
            </w:r>
            <w:r w:rsidR="004F4AE3">
              <w:rPr>
                <w:rFonts w:ascii="Calibri" w:eastAsia="Times New Roman" w:hAnsi="Calibri" w:cs="Calibri"/>
                <w:color w:val="000000"/>
              </w:rPr>
              <w:t>squared</w:t>
            </w:r>
          </w:p>
        </w:tc>
        <w:tc>
          <w:tcPr>
            <w:tcW w:w="1337" w:type="dxa"/>
            <w:shd w:val="clear" w:color="auto" w:fill="FFFFFF" w:themeFill="background1"/>
            <w:noWrap/>
            <w:hideMark/>
          </w:tcPr>
          <w:p w14:paraId="7113C60B" w14:textId="77777777" w:rsidR="005C287B" w:rsidRPr="006E3F64" w:rsidRDefault="005C287B" w:rsidP="007704B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6E3F64">
              <w:rPr>
                <w:rFonts w:ascii="Calibri" w:eastAsia="Times New Roman" w:hAnsi="Calibri" w:cs="Calibri"/>
                <w:color w:val="000000"/>
              </w:rPr>
              <w:t>0.1522</w:t>
            </w:r>
          </w:p>
        </w:tc>
      </w:tr>
      <w:tr w:rsidR="005C287B" w:rsidRPr="006E3F64" w14:paraId="76806F76" w14:textId="77777777" w:rsidTr="00505D31">
        <w:trPr>
          <w:trHeight w:val="279"/>
        </w:trPr>
        <w:tc>
          <w:tcPr>
            <w:cnfStyle w:val="001000000000" w:firstRow="0" w:lastRow="0" w:firstColumn="1" w:lastColumn="0" w:oddVBand="0" w:evenVBand="0" w:oddHBand="0" w:evenHBand="0" w:firstRowFirstColumn="0" w:firstRowLastColumn="0" w:lastRowFirstColumn="0" w:lastRowLastColumn="0"/>
            <w:tcW w:w="2697" w:type="dxa"/>
            <w:shd w:val="clear" w:color="auto" w:fill="D9E2F3" w:themeFill="accent1" w:themeFillTint="33"/>
            <w:noWrap/>
            <w:hideMark/>
          </w:tcPr>
          <w:p w14:paraId="387731FF" w14:textId="045B82CF" w:rsidR="005C287B" w:rsidRPr="00913C75" w:rsidRDefault="004F4AE3" w:rsidP="007704B6">
            <w:pPr>
              <w:rPr>
                <w:rFonts w:ascii="Calibri" w:eastAsia="Times New Roman" w:hAnsi="Calibri" w:cs="Calibri"/>
                <w:color w:val="000000"/>
              </w:rPr>
            </w:pPr>
            <w:r>
              <w:rPr>
                <w:rFonts w:ascii="Calibri" w:eastAsia="Times New Roman" w:hAnsi="Calibri" w:cs="Calibri"/>
                <w:color w:val="000000"/>
              </w:rPr>
              <w:t>Adj</w:t>
            </w:r>
            <w:r w:rsidR="00C05D27">
              <w:rPr>
                <w:rFonts w:ascii="Calibri" w:eastAsia="Times New Roman" w:hAnsi="Calibri" w:cs="Calibri"/>
                <w:color w:val="000000"/>
              </w:rPr>
              <w:t>usted</w:t>
            </w:r>
            <w:r>
              <w:rPr>
                <w:rFonts w:ascii="Calibri" w:eastAsia="Times New Roman" w:hAnsi="Calibri" w:cs="Calibri"/>
                <w:color w:val="000000"/>
              </w:rPr>
              <w:t xml:space="preserve"> </w:t>
            </w:r>
            <w:r w:rsidR="005C287B" w:rsidRPr="00913C75">
              <w:rPr>
                <w:rFonts w:ascii="Calibri" w:eastAsia="Times New Roman" w:hAnsi="Calibri" w:cs="Calibri"/>
                <w:color w:val="000000"/>
              </w:rPr>
              <w:t>R-</w:t>
            </w:r>
            <w:r>
              <w:rPr>
                <w:rFonts w:ascii="Calibri" w:eastAsia="Times New Roman" w:hAnsi="Calibri" w:cs="Calibri"/>
                <w:color w:val="000000"/>
              </w:rPr>
              <w:t>squared</w:t>
            </w:r>
          </w:p>
        </w:tc>
        <w:tc>
          <w:tcPr>
            <w:tcW w:w="1337" w:type="dxa"/>
            <w:shd w:val="clear" w:color="auto" w:fill="FFFFFF" w:themeFill="background1"/>
            <w:noWrap/>
            <w:hideMark/>
          </w:tcPr>
          <w:p w14:paraId="4FC5E8CA" w14:textId="77777777" w:rsidR="005C287B" w:rsidRPr="006E3F64" w:rsidRDefault="005C287B" w:rsidP="007704B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6E3F64">
              <w:rPr>
                <w:rFonts w:ascii="Calibri" w:eastAsia="Times New Roman" w:hAnsi="Calibri" w:cs="Calibri"/>
                <w:color w:val="000000"/>
              </w:rPr>
              <w:t>0.1075</w:t>
            </w:r>
          </w:p>
        </w:tc>
      </w:tr>
    </w:tbl>
    <w:p w14:paraId="01321E15" w14:textId="77777777" w:rsidR="005C287B" w:rsidRPr="008818A0" w:rsidRDefault="005C287B" w:rsidP="008818A0">
      <w:pPr>
        <w:jc w:val="both"/>
        <w:rPr>
          <w:rFonts w:eastAsiaTheme="minorEastAsia"/>
          <w:b/>
          <w:bCs/>
          <w:sz w:val="24"/>
          <w:szCs w:val="24"/>
          <w:lang w:val="es-CL"/>
        </w:rPr>
      </w:pPr>
    </w:p>
    <w:tbl>
      <w:tblPr>
        <w:tblStyle w:val="Tablanormal1"/>
        <w:tblW w:w="9362" w:type="dxa"/>
        <w:tblLook w:val="04A0" w:firstRow="1" w:lastRow="0" w:firstColumn="1" w:lastColumn="0" w:noHBand="0" w:noVBand="1"/>
      </w:tblPr>
      <w:tblGrid>
        <w:gridCol w:w="1680"/>
        <w:gridCol w:w="1375"/>
        <w:gridCol w:w="1551"/>
        <w:gridCol w:w="775"/>
        <w:gridCol w:w="802"/>
        <w:gridCol w:w="1524"/>
        <w:gridCol w:w="1655"/>
      </w:tblGrid>
      <w:tr w:rsidR="008818A0" w:rsidRPr="0034214C" w14:paraId="4307BB50" w14:textId="77777777" w:rsidTr="005C287B">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680" w:type="dxa"/>
            <w:shd w:val="clear" w:color="auto" w:fill="D9E2F3" w:themeFill="accent1" w:themeFillTint="33"/>
            <w:noWrap/>
            <w:hideMark/>
          </w:tcPr>
          <w:p w14:paraId="30EB1583" w14:textId="3CC8FDBE" w:rsidR="008818A0" w:rsidRPr="00CD11F2" w:rsidRDefault="00CD11F2" w:rsidP="00E64E4D">
            <w:pPr>
              <w:jc w:val="center"/>
              <w:rPr>
                <w:rStyle w:val="nfasisintenso"/>
                <w:i w:val="0"/>
                <w:iCs w:val="0"/>
                <w:color w:val="000000" w:themeColor="text1"/>
              </w:rPr>
            </w:pPr>
            <w:bookmarkStart w:id="5" w:name="_Hlk95856271"/>
            <m:oMathPara>
              <m:oMath>
                <m:r>
                  <m:rPr>
                    <m:sty m:val="bi"/>
                  </m:rPr>
                  <w:rPr>
                    <w:rFonts w:ascii="Cambria Math" w:eastAsia="Times New Roman" w:hAnsi="Cambria Math" w:cs="Calibri"/>
                    <w:color w:val="000000"/>
                  </w:rPr>
                  <m:t>∆E</m:t>
                </m:r>
              </m:oMath>
            </m:oMathPara>
          </w:p>
        </w:tc>
        <w:tc>
          <w:tcPr>
            <w:tcW w:w="1375" w:type="dxa"/>
            <w:shd w:val="clear" w:color="auto" w:fill="D9E2F3" w:themeFill="accent1" w:themeFillTint="33"/>
            <w:noWrap/>
            <w:hideMark/>
          </w:tcPr>
          <w:p w14:paraId="45A504D4" w14:textId="0CB9C59B" w:rsidR="008818A0" w:rsidRPr="001573A1" w:rsidRDefault="008818A0" w:rsidP="00E64E4D">
            <w:pPr>
              <w:jc w:val="center"/>
              <w:cnfStyle w:val="100000000000" w:firstRow="1" w:lastRow="0" w:firstColumn="0" w:lastColumn="0" w:oddVBand="0" w:evenVBand="0" w:oddHBand="0" w:evenHBand="0" w:firstRowFirstColumn="0" w:firstRowLastColumn="0" w:lastRowFirstColumn="0" w:lastRowLastColumn="0"/>
              <w:rPr>
                <w:rStyle w:val="nfasisintenso"/>
                <w:i w:val="0"/>
                <w:iCs w:val="0"/>
                <w:color w:val="000000" w:themeColor="text1"/>
              </w:rPr>
            </w:pPr>
            <w:r w:rsidRPr="001573A1">
              <w:rPr>
                <w:rFonts w:ascii="Calibri" w:hAnsi="Calibri" w:cs="Calibri"/>
                <w:color w:val="000000" w:themeColor="text1"/>
              </w:rPr>
              <w:t>Coef</w:t>
            </w:r>
            <w:r w:rsidR="00341FE7">
              <w:rPr>
                <w:rFonts w:ascii="Calibri" w:hAnsi="Calibri" w:cs="Calibri"/>
                <w:color w:val="000000" w:themeColor="text1"/>
              </w:rPr>
              <w:t>f</w:t>
            </w:r>
            <w:r w:rsidRPr="001573A1">
              <w:rPr>
                <w:rFonts w:ascii="Calibri" w:hAnsi="Calibri" w:cs="Calibri"/>
                <w:color w:val="000000" w:themeColor="text1"/>
              </w:rPr>
              <w:t>icient</w:t>
            </w:r>
          </w:p>
        </w:tc>
        <w:tc>
          <w:tcPr>
            <w:tcW w:w="1551" w:type="dxa"/>
            <w:shd w:val="clear" w:color="auto" w:fill="D9E2F3" w:themeFill="accent1" w:themeFillTint="33"/>
            <w:hideMark/>
          </w:tcPr>
          <w:p w14:paraId="4FB4728F" w14:textId="77777777" w:rsidR="00341FE7" w:rsidRDefault="00341FE7" w:rsidP="00E64E4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sidRPr="00341FE7">
              <w:rPr>
                <w:rFonts w:ascii="Calibri" w:eastAsia="Times New Roman" w:hAnsi="Calibri" w:cs="Calibri"/>
                <w:color w:val="000000"/>
              </w:rPr>
              <w:t>Robust</w:t>
            </w:r>
          </w:p>
          <w:p w14:paraId="66B7025E" w14:textId="50405973" w:rsidR="008818A0" w:rsidRPr="00341FE7" w:rsidRDefault="00341FE7" w:rsidP="00E64E4D">
            <w:pPr>
              <w:jc w:val="center"/>
              <w:cnfStyle w:val="100000000000" w:firstRow="1" w:lastRow="0" w:firstColumn="0" w:lastColumn="0" w:oddVBand="0" w:evenVBand="0" w:oddHBand="0" w:evenHBand="0" w:firstRowFirstColumn="0" w:firstRowLastColumn="0" w:lastRowFirstColumn="0" w:lastRowLastColumn="0"/>
              <w:rPr>
                <w:rStyle w:val="nfasisintenso"/>
                <w:i w:val="0"/>
                <w:iCs w:val="0"/>
                <w:color w:val="000000" w:themeColor="text1"/>
              </w:rPr>
            </w:pPr>
            <w:r w:rsidRPr="00341FE7">
              <w:rPr>
                <w:rFonts w:ascii="Calibri" w:eastAsia="Times New Roman" w:hAnsi="Calibri" w:cs="Calibri"/>
                <w:color w:val="000000"/>
              </w:rPr>
              <w:t xml:space="preserve"> Std. Err.</w:t>
            </w:r>
          </w:p>
        </w:tc>
        <w:tc>
          <w:tcPr>
            <w:tcW w:w="775" w:type="dxa"/>
            <w:shd w:val="clear" w:color="auto" w:fill="D9E2F3" w:themeFill="accent1" w:themeFillTint="33"/>
            <w:noWrap/>
            <w:hideMark/>
          </w:tcPr>
          <w:p w14:paraId="15E2C9AF" w14:textId="77777777" w:rsidR="008818A0" w:rsidRPr="001573A1" w:rsidRDefault="008818A0" w:rsidP="00E64E4D">
            <w:pPr>
              <w:jc w:val="center"/>
              <w:cnfStyle w:val="100000000000" w:firstRow="1" w:lastRow="0" w:firstColumn="0" w:lastColumn="0" w:oddVBand="0" w:evenVBand="0" w:oddHBand="0" w:evenHBand="0" w:firstRowFirstColumn="0" w:firstRowLastColumn="0" w:lastRowFirstColumn="0" w:lastRowLastColumn="0"/>
              <w:rPr>
                <w:rStyle w:val="nfasisintenso"/>
                <w:i w:val="0"/>
                <w:iCs w:val="0"/>
                <w:color w:val="000000" w:themeColor="text1"/>
              </w:rPr>
            </w:pPr>
            <w:r w:rsidRPr="001573A1">
              <w:rPr>
                <w:rFonts w:ascii="Calibri" w:hAnsi="Calibri" w:cs="Calibri"/>
                <w:color w:val="000000" w:themeColor="text1"/>
              </w:rPr>
              <w:t>t</w:t>
            </w:r>
          </w:p>
        </w:tc>
        <w:tc>
          <w:tcPr>
            <w:tcW w:w="802" w:type="dxa"/>
            <w:shd w:val="clear" w:color="auto" w:fill="D9E2F3" w:themeFill="accent1" w:themeFillTint="33"/>
            <w:noWrap/>
            <w:hideMark/>
          </w:tcPr>
          <w:p w14:paraId="386009E1" w14:textId="77777777" w:rsidR="008818A0" w:rsidRPr="001573A1" w:rsidRDefault="008818A0" w:rsidP="00E64E4D">
            <w:pPr>
              <w:jc w:val="center"/>
              <w:cnfStyle w:val="100000000000" w:firstRow="1" w:lastRow="0" w:firstColumn="0" w:lastColumn="0" w:oddVBand="0" w:evenVBand="0" w:oddHBand="0" w:evenHBand="0" w:firstRowFirstColumn="0" w:firstRowLastColumn="0" w:lastRowFirstColumn="0" w:lastRowLastColumn="0"/>
              <w:rPr>
                <w:rStyle w:val="nfasisintenso"/>
                <w:i w:val="0"/>
                <w:iCs w:val="0"/>
                <w:color w:val="000000" w:themeColor="text1"/>
              </w:rPr>
            </w:pPr>
            <w:r w:rsidRPr="001573A1">
              <w:rPr>
                <w:rFonts w:ascii="Calibri" w:hAnsi="Calibri" w:cs="Calibri"/>
                <w:color w:val="000000" w:themeColor="text1"/>
              </w:rPr>
              <w:t>p&gt;|t|</w:t>
            </w:r>
          </w:p>
        </w:tc>
        <w:tc>
          <w:tcPr>
            <w:tcW w:w="3179" w:type="dxa"/>
            <w:gridSpan w:val="2"/>
            <w:shd w:val="clear" w:color="auto" w:fill="D9E2F3" w:themeFill="accent1" w:themeFillTint="33"/>
            <w:hideMark/>
          </w:tcPr>
          <w:p w14:paraId="5767C545" w14:textId="23C82501" w:rsidR="008818A0" w:rsidRPr="001573A1" w:rsidRDefault="00341FE7" w:rsidP="00E64E4D">
            <w:pPr>
              <w:jc w:val="center"/>
              <w:cnfStyle w:val="100000000000" w:firstRow="1" w:lastRow="0" w:firstColumn="0" w:lastColumn="0" w:oddVBand="0" w:evenVBand="0" w:oddHBand="0" w:evenHBand="0" w:firstRowFirstColumn="0" w:firstRowLastColumn="0" w:lastRowFirstColumn="0" w:lastRowLastColumn="0"/>
              <w:rPr>
                <w:rStyle w:val="nfasisintenso"/>
                <w:i w:val="0"/>
                <w:iCs w:val="0"/>
                <w:color w:val="000000" w:themeColor="text1"/>
              </w:rPr>
            </w:pPr>
            <w:r w:rsidRPr="00341FE7">
              <w:rPr>
                <w:rFonts w:ascii="Calibri" w:eastAsia="Times New Roman" w:hAnsi="Calibri" w:cs="Calibri"/>
                <w:color w:val="000000"/>
              </w:rPr>
              <w:t>Confidence Interval</w:t>
            </w:r>
            <w:r w:rsidRPr="008E7809">
              <w:rPr>
                <w:rFonts w:ascii="Calibri" w:eastAsia="Times New Roman" w:hAnsi="Calibri" w:cs="Calibri"/>
                <w:color w:val="000000"/>
              </w:rPr>
              <w:t xml:space="preserve"> </w:t>
            </w:r>
            <w:r w:rsidR="008818A0">
              <w:rPr>
                <w:rFonts w:ascii="Calibri" w:hAnsi="Calibri" w:cs="Calibri"/>
                <w:color w:val="000000" w:themeColor="text1"/>
              </w:rPr>
              <w:t>(95%)</w:t>
            </w:r>
          </w:p>
        </w:tc>
      </w:tr>
      <w:tr w:rsidR="008818A0" w:rsidRPr="0034214C" w14:paraId="434358FE" w14:textId="77777777" w:rsidTr="005C287B">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680" w:type="dxa"/>
            <w:shd w:val="clear" w:color="auto" w:fill="FFFFFF" w:themeFill="background1"/>
            <w:noWrap/>
            <w:hideMark/>
          </w:tcPr>
          <w:p w14:paraId="1AA9BE56" w14:textId="3CFC03C7" w:rsidR="008818A0" w:rsidRPr="008E7809" w:rsidRDefault="008818A0" w:rsidP="00E64E4D">
            <w:pPr>
              <w:rPr>
                <w:rFonts w:ascii="Calibri" w:eastAsia="Times New Roman" w:hAnsi="Calibri" w:cs="Calibri"/>
                <w:b w:val="0"/>
                <w:bCs w:val="0"/>
                <w:color w:val="000000" w:themeColor="text1"/>
              </w:rPr>
            </w:pPr>
            <w:r w:rsidRPr="008E7809">
              <w:rPr>
                <w:rFonts w:ascii="Calibri" w:eastAsia="Times New Roman" w:hAnsi="Calibri" w:cs="Calibri"/>
                <w:b w:val="0"/>
                <w:bCs w:val="0"/>
                <w:color w:val="000000" w:themeColor="text1"/>
              </w:rPr>
              <w:t>US</w:t>
            </w:r>
            <w:r w:rsidR="00FB1416">
              <w:rPr>
                <w:rFonts w:ascii="Calibri" w:eastAsia="Times New Roman" w:hAnsi="Calibri" w:cs="Calibri"/>
                <w:b w:val="0"/>
                <w:bCs w:val="0"/>
                <w:color w:val="000000" w:themeColor="text1"/>
              </w:rPr>
              <w:t xml:space="preserve"> </w:t>
            </w:r>
            <w:r w:rsidR="00FB1416" w:rsidRPr="008E7809">
              <w:rPr>
                <w:rFonts w:ascii="Calibri" w:eastAsia="Times New Roman" w:hAnsi="Calibri" w:cs="Calibri"/>
                <w:b w:val="0"/>
                <w:bCs w:val="0"/>
                <w:color w:val="000000" w:themeColor="text1"/>
              </w:rPr>
              <w:t>Inf.</w:t>
            </w:r>
          </w:p>
        </w:tc>
        <w:tc>
          <w:tcPr>
            <w:tcW w:w="1375" w:type="dxa"/>
            <w:shd w:val="clear" w:color="auto" w:fill="FFFFFF" w:themeFill="background1"/>
            <w:noWrap/>
            <w:hideMark/>
          </w:tcPr>
          <w:p w14:paraId="7CF7ADA6" w14:textId="77777777" w:rsidR="008818A0" w:rsidRPr="00122283" w:rsidRDefault="008818A0" w:rsidP="00E64E4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-0.8468</w:t>
            </w:r>
          </w:p>
        </w:tc>
        <w:tc>
          <w:tcPr>
            <w:tcW w:w="1551" w:type="dxa"/>
            <w:shd w:val="clear" w:color="auto" w:fill="FFFFFF" w:themeFill="background1"/>
            <w:noWrap/>
            <w:hideMark/>
          </w:tcPr>
          <w:p w14:paraId="44CDB34A" w14:textId="77777777" w:rsidR="008818A0" w:rsidRPr="00122283" w:rsidRDefault="008818A0" w:rsidP="00E64E4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0.6114</w:t>
            </w:r>
          </w:p>
        </w:tc>
        <w:tc>
          <w:tcPr>
            <w:tcW w:w="775" w:type="dxa"/>
            <w:shd w:val="clear" w:color="auto" w:fill="FFFFFF" w:themeFill="background1"/>
            <w:noWrap/>
            <w:hideMark/>
          </w:tcPr>
          <w:p w14:paraId="2263ECA2" w14:textId="77777777" w:rsidR="008818A0" w:rsidRPr="00122283" w:rsidRDefault="008818A0" w:rsidP="00E64E4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-1.38</w:t>
            </w:r>
          </w:p>
        </w:tc>
        <w:tc>
          <w:tcPr>
            <w:tcW w:w="802" w:type="dxa"/>
            <w:shd w:val="clear" w:color="auto" w:fill="FFFFFF" w:themeFill="background1"/>
            <w:noWrap/>
            <w:hideMark/>
          </w:tcPr>
          <w:p w14:paraId="6E79D904" w14:textId="77777777" w:rsidR="008818A0" w:rsidRPr="00122283" w:rsidRDefault="008818A0" w:rsidP="00E64E4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0.167</w:t>
            </w:r>
          </w:p>
        </w:tc>
        <w:tc>
          <w:tcPr>
            <w:tcW w:w="1524" w:type="dxa"/>
            <w:shd w:val="clear" w:color="auto" w:fill="FFFFFF" w:themeFill="background1"/>
            <w:noWrap/>
            <w:hideMark/>
          </w:tcPr>
          <w:p w14:paraId="53876A4F" w14:textId="77777777" w:rsidR="008818A0" w:rsidRPr="00122283" w:rsidRDefault="008818A0" w:rsidP="00E64E4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-2.05</w:t>
            </w:r>
            <w:r>
              <w:rPr>
                <w:rFonts w:ascii="Calibri" w:hAnsi="Calibri" w:cs="Calibri"/>
                <w:color w:val="000000"/>
              </w:rPr>
              <w:t>10</w:t>
            </w:r>
          </w:p>
        </w:tc>
        <w:tc>
          <w:tcPr>
            <w:tcW w:w="1654" w:type="dxa"/>
            <w:shd w:val="clear" w:color="auto" w:fill="FFFFFF" w:themeFill="background1"/>
            <w:noWrap/>
            <w:hideMark/>
          </w:tcPr>
          <w:p w14:paraId="0D063C48" w14:textId="77777777" w:rsidR="008818A0" w:rsidRPr="00122283" w:rsidRDefault="008818A0" w:rsidP="00E64E4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0.3575</w:t>
            </w:r>
          </w:p>
        </w:tc>
      </w:tr>
      <w:tr w:rsidR="008818A0" w:rsidRPr="0034214C" w14:paraId="3B32C7DD" w14:textId="77777777" w:rsidTr="005C287B">
        <w:trPr>
          <w:trHeight w:val="262"/>
        </w:trPr>
        <w:tc>
          <w:tcPr>
            <w:cnfStyle w:val="001000000000" w:firstRow="0" w:lastRow="0" w:firstColumn="1" w:lastColumn="0" w:oddVBand="0" w:evenVBand="0" w:oddHBand="0" w:evenHBand="0" w:firstRowFirstColumn="0" w:firstRowLastColumn="0" w:lastRowFirstColumn="0" w:lastRowLastColumn="0"/>
            <w:tcW w:w="1680" w:type="dxa"/>
            <w:shd w:val="clear" w:color="auto" w:fill="FFFFFF" w:themeFill="background1"/>
            <w:noWrap/>
            <w:hideMark/>
          </w:tcPr>
          <w:p w14:paraId="09B9E304" w14:textId="1787AD42" w:rsidR="008818A0" w:rsidRPr="008E7809" w:rsidRDefault="008818A0" w:rsidP="00E64E4D">
            <w:pPr>
              <w:rPr>
                <w:rFonts w:ascii="Calibri" w:eastAsia="Times New Roman" w:hAnsi="Calibri" w:cs="Calibri"/>
                <w:b w:val="0"/>
                <w:bCs w:val="0"/>
                <w:color w:val="000000" w:themeColor="text1"/>
              </w:rPr>
            </w:pPr>
            <w:r w:rsidRPr="008E7809">
              <w:rPr>
                <w:rFonts w:ascii="Calibri" w:eastAsia="Times New Roman" w:hAnsi="Calibri" w:cs="Calibri"/>
                <w:b w:val="0"/>
                <w:bCs w:val="0"/>
                <w:color w:val="000000" w:themeColor="text1"/>
              </w:rPr>
              <w:t>China</w:t>
            </w:r>
            <w:r w:rsidR="00FB1416">
              <w:rPr>
                <w:rFonts w:ascii="Calibri" w:eastAsia="Times New Roman" w:hAnsi="Calibri" w:cs="Calibri"/>
                <w:b w:val="0"/>
                <w:bCs w:val="0"/>
                <w:color w:val="000000" w:themeColor="text1"/>
              </w:rPr>
              <w:t xml:space="preserve"> </w:t>
            </w:r>
            <w:r w:rsidR="00FB1416" w:rsidRPr="008E7809">
              <w:rPr>
                <w:rFonts w:ascii="Calibri" w:eastAsia="Times New Roman" w:hAnsi="Calibri" w:cs="Calibri"/>
                <w:b w:val="0"/>
                <w:bCs w:val="0"/>
                <w:color w:val="000000" w:themeColor="text1"/>
              </w:rPr>
              <w:t>Inf.</w:t>
            </w:r>
          </w:p>
        </w:tc>
        <w:tc>
          <w:tcPr>
            <w:tcW w:w="1375" w:type="dxa"/>
            <w:shd w:val="clear" w:color="auto" w:fill="FFFFFF" w:themeFill="background1"/>
            <w:noWrap/>
            <w:hideMark/>
          </w:tcPr>
          <w:p w14:paraId="3B46C2A8" w14:textId="77777777" w:rsidR="008818A0" w:rsidRPr="00122283" w:rsidRDefault="008818A0" w:rsidP="00E64E4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-0.3650</w:t>
            </w:r>
          </w:p>
        </w:tc>
        <w:tc>
          <w:tcPr>
            <w:tcW w:w="1551" w:type="dxa"/>
            <w:shd w:val="clear" w:color="auto" w:fill="FFFFFF" w:themeFill="background1"/>
            <w:noWrap/>
            <w:hideMark/>
          </w:tcPr>
          <w:p w14:paraId="24A67555" w14:textId="77777777" w:rsidR="008818A0" w:rsidRPr="00122283" w:rsidRDefault="008818A0" w:rsidP="00E64E4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0.2568</w:t>
            </w:r>
          </w:p>
        </w:tc>
        <w:tc>
          <w:tcPr>
            <w:tcW w:w="775" w:type="dxa"/>
            <w:shd w:val="clear" w:color="auto" w:fill="FFFFFF" w:themeFill="background1"/>
            <w:noWrap/>
            <w:hideMark/>
          </w:tcPr>
          <w:p w14:paraId="20F0109A" w14:textId="77777777" w:rsidR="008818A0" w:rsidRPr="00122283" w:rsidRDefault="008818A0" w:rsidP="00E64E4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-1.42</w:t>
            </w:r>
          </w:p>
        </w:tc>
        <w:tc>
          <w:tcPr>
            <w:tcW w:w="802" w:type="dxa"/>
            <w:shd w:val="clear" w:color="auto" w:fill="FFFFFF" w:themeFill="background1"/>
            <w:noWrap/>
            <w:hideMark/>
          </w:tcPr>
          <w:p w14:paraId="34B9ABCD" w14:textId="77777777" w:rsidR="008818A0" w:rsidRPr="00122283" w:rsidRDefault="008818A0" w:rsidP="00E64E4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0.157</w:t>
            </w:r>
          </w:p>
        </w:tc>
        <w:tc>
          <w:tcPr>
            <w:tcW w:w="1524" w:type="dxa"/>
            <w:shd w:val="clear" w:color="auto" w:fill="FFFFFF" w:themeFill="background1"/>
            <w:noWrap/>
            <w:hideMark/>
          </w:tcPr>
          <w:p w14:paraId="5200B8BB" w14:textId="77777777" w:rsidR="008818A0" w:rsidRPr="00122283" w:rsidRDefault="008818A0" w:rsidP="00E64E4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-0.8708</w:t>
            </w:r>
          </w:p>
        </w:tc>
        <w:tc>
          <w:tcPr>
            <w:tcW w:w="1654" w:type="dxa"/>
            <w:shd w:val="clear" w:color="auto" w:fill="FFFFFF" w:themeFill="background1"/>
            <w:noWrap/>
            <w:hideMark/>
          </w:tcPr>
          <w:p w14:paraId="00BBAEEF" w14:textId="77777777" w:rsidR="008818A0" w:rsidRPr="00122283" w:rsidRDefault="008818A0" w:rsidP="00E64E4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0.1409</w:t>
            </w:r>
          </w:p>
        </w:tc>
      </w:tr>
      <w:tr w:rsidR="008818A0" w:rsidRPr="0034214C" w14:paraId="56FD37E3" w14:textId="77777777" w:rsidTr="005C287B">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680" w:type="dxa"/>
            <w:shd w:val="clear" w:color="auto" w:fill="FFFFFF" w:themeFill="background1"/>
            <w:noWrap/>
            <w:hideMark/>
          </w:tcPr>
          <w:p w14:paraId="262A363D" w14:textId="0418A00D" w:rsidR="008818A0" w:rsidRPr="00961DBD" w:rsidRDefault="00FB1416" w:rsidP="00E64E4D">
            <w:pPr>
              <w:rPr>
                <w:rFonts w:ascii="Calibri" w:eastAsia="Times New Roman" w:hAnsi="Calibri" w:cs="Calibri"/>
                <w:b w:val="0"/>
                <w:bCs w:val="0"/>
                <w:color w:val="000000" w:themeColor="text1"/>
              </w:rPr>
            </w:pPr>
            <w:r w:rsidRPr="00961DBD">
              <w:rPr>
                <w:rFonts w:ascii="Calibri" w:eastAsia="Times New Roman" w:hAnsi="Calibri" w:cs="Calibri"/>
                <w:b w:val="0"/>
                <w:bCs w:val="0"/>
                <w:color w:val="000000" w:themeColor="text1"/>
              </w:rPr>
              <w:t>E</w:t>
            </w:r>
            <w:r w:rsidR="008818A0" w:rsidRPr="00961DBD">
              <w:rPr>
                <w:rFonts w:ascii="Calibri" w:eastAsia="Times New Roman" w:hAnsi="Calibri" w:cs="Calibri"/>
                <w:b w:val="0"/>
                <w:bCs w:val="0"/>
                <w:color w:val="000000" w:themeColor="text1"/>
              </w:rPr>
              <w:t>urozon</w:t>
            </w:r>
            <w:r w:rsidRPr="00961DBD">
              <w:rPr>
                <w:rFonts w:ascii="Calibri" w:eastAsia="Times New Roman" w:hAnsi="Calibri" w:cs="Calibri"/>
                <w:b w:val="0"/>
                <w:bCs w:val="0"/>
                <w:color w:val="000000" w:themeColor="text1"/>
              </w:rPr>
              <w:t>e Inf.</w:t>
            </w:r>
          </w:p>
        </w:tc>
        <w:tc>
          <w:tcPr>
            <w:tcW w:w="1375" w:type="dxa"/>
            <w:shd w:val="clear" w:color="auto" w:fill="FFFFFF" w:themeFill="background1"/>
            <w:noWrap/>
            <w:hideMark/>
          </w:tcPr>
          <w:p w14:paraId="3C6F9601" w14:textId="77777777" w:rsidR="008818A0" w:rsidRPr="00122283" w:rsidRDefault="008818A0" w:rsidP="00E64E4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0.0575</w:t>
            </w:r>
          </w:p>
        </w:tc>
        <w:tc>
          <w:tcPr>
            <w:tcW w:w="1551" w:type="dxa"/>
            <w:shd w:val="clear" w:color="auto" w:fill="FFFFFF" w:themeFill="background1"/>
            <w:noWrap/>
            <w:hideMark/>
          </w:tcPr>
          <w:p w14:paraId="1FDA8805" w14:textId="77777777" w:rsidR="008818A0" w:rsidRPr="00122283" w:rsidRDefault="008818A0" w:rsidP="00E64E4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0.3741</w:t>
            </w:r>
          </w:p>
        </w:tc>
        <w:tc>
          <w:tcPr>
            <w:tcW w:w="775" w:type="dxa"/>
            <w:shd w:val="clear" w:color="auto" w:fill="FFFFFF" w:themeFill="background1"/>
            <w:noWrap/>
            <w:hideMark/>
          </w:tcPr>
          <w:p w14:paraId="1DA0F1A0" w14:textId="77777777" w:rsidR="008818A0" w:rsidRPr="00122283" w:rsidRDefault="008818A0" w:rsidP="00E64E4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0.15</w:t>
            </w:r>
          </w:p>
        </w:tc>
        <w:tc>
          <w:tcPr>
            <w:tcW w:w="802" w:type="dxa"/>
            <w:shd w:val="clear" w:color="auto" w:fill="FFFFFF" w:themeFill="background1"/>
            <w:noWrap/>
            <w:hideMark/>
          </w:tcPr>
          <w:p w14:paraId="42623761" w14:textId="77777777" w:rsidR="008818A0" w:rsidRPr="00122283" w:rsidRDefault="008818A0" w:rsidP="00E64E4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0.878</w:t>
            </w:r>
          </w:p>
        </w:tc>
        <w:tc>
          <w:tcPr>
            <w:tcW w:w="1524" w:type="dxa"/>
            <w:shd w:val="clear" w:color="auto" w:fill="FFFFFF" w:themeFill="background1"/>
            <w:noWrap/>
            <w:hideMark/>
          </w:tcPr>
          <w:p w14:paraId="4CF35D2D" w14:textId="77777777" w:rsidR="008818A0" w:rsidRPr="00122283" w:rsidRDefault="008818A0" w:rsidP="00E64E4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-0.6793</w:t>
            </w:r>
          </w:p>
        </w:tc>
        <w:tc>
          <w:tcPr>
            <w:tcW w:w="1654" w:type="dxa"/>
            <w:shd w:val="clear" w:color="auto" w:fill="FFFFFF" w:themeFill="background1"/>
            <w:noWrap/>
            <w:hideMark/>
          </w:tcPr>
          <w:p w14:paraId="2F4A787E" w14:textId="77777777" w:rsidR="008818A0" w:rsidRPr="00122283" w:rsidRDefault="008818A0" w:rsidP="00E64E4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0.7943</w:t>
            </w:r>
          </w:p>
        </w:tc>
      </w:tr>
      <w:tr w:rsidR="00FA2E3E" w:rsidRPr="0034214C" w14:paraId="31CF4AEE" w14:textId="77777777" w:rsidTr="005C287B">
        <w:trPr>
          <w:trHeight w:val="262"/>
        </w:trPr>
        <w:tc>
          <w:tcPr>
            <w:cnfStyle w:val="001000000000" w:firstRow="0" w:lastRow="0" w:firstColumn="1" w:lastColumn="0" w:oddVBand="0" w:evenVBand="0" w:oddHBand="0" w:evenHBand="0" w:firstRowFirstColumn="0" w:firstRowLastColumn="0" w:lastRowFirstColumn="0" w:lastRowLastColumn="0"/>
            <w:tcW w:w="1680" w:type="dxa"/>
            <w:shd w:val="clear" w:color="auto" w:fill="FFFFFF" w:themeFill="background1"/>
            <w:noWrap/>
            <w:hideMark/>
          </w:tcPr>
          <w:p w14:paraId="4B55EF8F" w14:textId="26665834" w:rsidR="00FA2E3E" w:rsidRPr="00961DBD" w:rsidRDefault="0062217F" w:rsidP="00FA2E3E">
            <w:pPr>
              <w:jc w:val="both"/>
              <w:rPr>
                <w:rFonts w:ascii="Calibri" w:eastAsia="Times New Roman" w:hAnsi="Calibri" w:cs="Calibri"/>
                <w:b w:val="0"/>
                <w:bCs w:val="0"/>
                <w:color w:val="000000" w:themeColor="text1"/>
              </w:rPr>
            </w:pPr>
            <m:oMathPara>
              <m:oMathParaPr>
                <m:jc m:val="left"/>
              </m:oMathParaPr>
              <m:oMath>
                <m:sSub>
                  <m:sSubPr>
                    <m:ctrlPr>
                      <w:rPr>
                        <w:rFonts w:ascii="Cambria Math" w:eastAsiaTheme="minorEastAsia" w:hAnsi="Cambria Math"/>
                        <w:b w:val="0"/>
                        <w:bCs w:val="0"/>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1</m:t>
                    </m:r>
                  </m:sub>
                </m:sSub>
              </m:oMath>
            </m:oMathPara>
          </w:p>
        </w:tc>
        <w:tc>
          <w:tcPr>
            <w:tcW w:w="1375" w:type="dxa"/>
            <w:shd w:val="clear" w:color="auto" w:fill="FFFFFF" w:themeFill="background1"/>
            <w:noWrap/>
            <w:hideMark/>
          </w:tcPr>
          <w:p w14:paraId="3AD41099" w14:textId="77777777" w:rsidR="00FA2E3E" w:rsidRPr="00122283" w:rsidRDefault="00FA2E3E" w:rsidP="00FA2E3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0.0006</w:t>
            </w:r>
          </w:p>
        </w:tc>
        <w:tc>
          <w:tcPr>
            <w:tcW w:w="1551" w:type="dxa"/>
            <w:shd w:val="clear" w:color="auto" w:fill="FFFFFF" w:themeFill="background1"/>
            <w:noWrap/>
            <w:hideMark/>
          </w:tcPr>
          <w:p w14:paraId="748D9AA4" w14:textId="77777777" w:rsidR="00FA2E3E" w:rsidRPr="00122283" w:rsidRDefault="00FA2E3E" w:rsidP="00FA2E3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0.0131</w:t>
            </w:r>
          </w:p>
        </w:tc>
        <w:tc>
          <w:tcPr>
            <w:tcW w:w="775" w:type="dxa"/>
            <w:shd w:val="clear" w:color="auto" w:fill="FFFFFF" w:themeFill="background1"/>
            <w:noWrap/>
            <w:hideMark/>
          </w:tcPr>
          <w:p w14:paraId="77727658" w14:textId="77777777" w:rsidR="00FA2E3E" w:rsidRPr="00122283" w:rsidRDefault="00FA2E3E" w:rsidP="00FA2E3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0.04</w:t>
            </w:r>
          </w:p>
        </w:tc>
        <w:tc>
          <w:tcPr>
            <w:tcW w:w="802" w:type="dxa"/>
            <w:shd w:val="clear" w:color="auto" w:fill="FFFFFF" w:themeFill="background1"/>
            <w:noWrap/>
            <w:hideMark/>
          </w:tcPr>
          <w:p w14:paraId="7D32F60A" w14:textId="77777777" w:rsidR="00FA2E3E" w:rsidRPr="00122283" w:rsidRDefault="00FA2E3E" w:rsidP="00FA2E3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0.966</w:t>
            </w:r>
          </w:p>
        </w:tc>
        <w:tc>
          <w:tcPr>
            <w:tcW w:w="1524" w:type="dxa"/>
            <w:shd w:val="clear" w:color="auto" w:fill="FFFFFF" w:themeFill="background1"/>
            <w:noWrap/>
            <w:hideMark/>
          </w:tcPr>
          <w:p w14:paraId="2715E960" w14:textId="77777777" w:rsidR="00FA2E3E" w:rsidRPr="00122283" w:rsidRDefault="00FA2E3E" w:rsidP="00FA2E3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-0.0252</w:t>
            </w:r>
          </w:p>
        </w:tc>
        <w:tc>
          <w:tcPr>
            <w:tcW w:w="1654" w:type="dxa"/>
            <w:shd w:val="clear" w:color="auto" w:fill="FFFFFF" w:themeFill="background1"/>
            <w:noWrap/>
            <w:hideMark/>
          </w:tcPr>
          <w:p w14:paraId="0EA6D893" w14:textId="77777777" w:rsidR="00FA2E3E" w:rsidRPr="00122283" w:rsidRDefault="00FA2E3E" w:rsidP="00FA2E3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0.0264</w:t>
            </w:r>
          </w:p>
        </w:tc>
      </w:tr>
      <w:tr w:rsidR="00FA2E3E" w:rsidRPr="0034214C" w14:paraId="20C946EC" w14:textId="77777777" w:rsidTr="005C287B">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680" w:type="dxa"/>
            <w:shd w:val="clear" w:color="auto" w:fill="FFFFFF" w:themeFill="background1"/>
            <w:noWrap/>
            <w:hideMark/>
          </w:tcPr>
          <w:p w14:paraId="787A69E5" w14:textId="5957F031" w:rsidR="00FA2E3E" w:rsidRPr="00961DBD" w:rsidRDefault="0062217F" w:rsidP="00FA2E3E">
            <w:pPr>
              <w:jc w:val="both"/>
              <w:rPr>
                <w:rFonts w:ascii="Calibri" w:eastAsia="Times New Roman" w:hAnsi="Calibri" w:cs="Calibri"/>
                <w:b w:val="0"/>
                <w:bCs w:val="0"/>
                <w:color w:val="000000" w:themeColor="text1"/>
              </w:rPr>
            </w:pPr>
            <m:oMathPara>
              <m:oMathParaPr>
                <m:jc m:val="left"/>
              </m:oMathParaPr>
              <m:oMath>
                <m:sSub>
                  <m:sSubPr>
                    <m:ctrlPr>
                      <w:rPr>
                        <w:rFonts w:ascii="Cambria Math" w:eastAsiaTheme="minorEastAsia" w:hAnsi="Cambria Math"/>
                        <w:b w:val="0"/>
                        <w:bCs w:val="0"/>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2</m:t>
                    </m:r>
                  </m:sub>
                </m:sSub>
              </m:oMath>
            </m:oMathPara>
          </w:p>
        </w:tc>
        <w:tc>
          <w:tcPr>
            <w:tcW w:w="1375" w:type="dxa"/>
            <w:shd w:val="clear" w:color="auto" w:fill="FFFFFF" w:themeFill="background1"/>
            <w:noWrap/>
            <w:hideMark/>
          </w:tcPr>
          <w:p w14:paraId="0B3D6371" w14:textId="77777777" w:rsidR="00FA2E3E" w:rsidRPr="00122283" w:rsidRDefault="00FA2E3E" w:rsidP="00FA2E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-0.0030</w:t>
            </w:r>
          </w:p>
        </w:tc>
        <w:tc>
          <w:tcPr>
            <w:tcW w:w="1551" w:type="dxa"/>
            <w:shd w:val="clear" w:color="auto" w:fill="FFFFFF" w:themeFill="background1"/>
            <w:noWrap/>
            <w:hideMark/>
          </w:tcPr>
          <w:p w14:paraId="4D1C933B" w14:textId="77777777" w:rsidR="00FA2E3E" w:rsidRPr="00122283" w:rsidRDefault="00FA2E3E" w:rsidP="00FA2E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0.0193</w:t>
            </w:r>
          </w:p>
        </w:tc>
        <w:tc>
          <w:tcPr>
            <w:tcW w:w="775" w:type="dxa"/>
            <w:shd w:val="clear" w:color="auto" w:fill="FFFFFF" w:themeFill="background1"/>
            <w:noWrap/>
            <w:hideMark/>
          </w:tcPr>
          <w:p w14:paraId="5C492C94" w14:textId="77777777" w:rsidR="00FA2E3E" w:rsidRPr="00122283" w:rsidRDefault="00FA2E3E" w:rsidP="00FA2E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-0.16</w:t>
            </w:r>
          </w:p>
        </w:tc>
        <w:tc>
          <w:tcPr>
            <w:tcW w:w="802" w:type="dxa"/>
            <w:shd w:val="clear" w:color="auto" w:fill="FFFFFF" w:themeFill="background1"/>
            <w:noWrap/>
            <w:hideMark/>
          </w:tcPr>
          <w:p w14:paraId="7E40040D" w14:textId="77777777" w:rsidR="00FA2E3E" w:rsidRPr="00122283" w:rsidRDefault="00FA2E3E" w:rsidP="00FA2E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0.877</w:t>
            </w:r>
          </w:p>
        </w:tc>
        <w:tc>
          <w:tcPr>
            <w:tcW w:w="1524" w:type="dxa"/>
            <w:shd w:val="clear" w:color="auto" w:fill="FFFFFF" w:themeFill="background1"/>
            <w:noWrap/>
            <w:hideMark/>
          </w:tcPr>
          <w:p w14:paraId="78E86234" w14:textId="77777777" w:rsidR="00FA2E3E" w:rsidRPr="00122283" w:rsidRDefault="00FA2E3E" w:rsidP="00FA2E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-0.0411</w:t>
            </w:r>
          </w:p>
        </w:tc>
        <w:tc>
          <w:tcPr>
            <w:tcW w:w="1654" w:type="dxa"/>
            <w:shd w:val="clear" w:color="auto" w:fill="FFFFFF" w:themeFill="background1"/>
            <w:noWrap/>
            <w:hideMark/>
          </w:tcPr>
          <w:p w14:paraId="060C4BEC" w14:textId="77777777" w:rsidR="00FA2E3E" w:rsidRPr="00122283" w:rsidRDefault="00FA2E3E" w:rsidP="00FA2E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0.0351</w:t>
            </w:r>
          </w:p>
        </w:tc>
      </w:tr>
      <w:tr w:rsidR="00FA2E3E" w:rsidRPr="0034214C" w14:paraId="081A7775" w14:textId="77777777" w:rsidTr="005C287B">
        <w:trPr>
          <w:trHeight w:val="262"/>
        </w:trPr>
        <w:tc>
          <w:tcPr>
            <w:cnfStyle w:val="001000000000" w:firstRow="0" w:lastRow="0" w:firstColumn="1" w:lastColumn="0" w:oddVBand="0" w:evenVBand="0" w:oddHBand="0" w:evenHBand="0" w:firstRowFirstColumn="0" w:firstRowLastColumn="0" w:lastRowFirstColumn="0" w:lastRowLastColumn="0"/>
            <w:tcW w:w="1680" w:type="dxa"/>
            <w:shd w:val="clear" w:color="auto" w:fill="FFFFFF" w:themeFill="background1"/>
            <w:noWrap/>
            <w:hideMark/>
          </w:tcPr>
          <w:p w14:paraId="64B28953" w14:textId="4AD33EF9" w:rsidR="00FA2E3E" w:rsidRPr="00961DBD" w:rsidRDefault="0062217F" w:rsidP="00FA2E3E">
            <w:pPr>
              <w:jc w:val="both"/>
              <w:rPr>
                <w:rFonts w:ascii="Calibri" w:eastAsia="Times New Roman" w:hAnsi="Calibri" w:cs="Calibri"/>
                <w:b w:val="0"/>
                <w:bCs w:val="0"/>
                <w:color w:val="000000" w:themeColor="text1"/>
              </w:rPr>
            </w:pPr>
            <m:oMathPara>
              <m:oMathParaPr>
                <m:jc m:val="left"/>
              </m:oMathParaPr>
              <m:oMath>
                <m:sSub>
                  <m:sSubPr>
                    <m:ctrlPr>
                      <w:rPr>
                        <w:rFonts w:ascii="Cambria Math" w:eastAsiaTheme="minorEastAsia" w:hAnsi="Cambria Math"/>
                        <w:b w:val="0"/>
                        <w:bCs w:val="0"/>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3</m:t>
                    </m:r>
                  </m:sub>
                </m:sSub>
              </m:oMath>
            </m:oMathPara>
          </w:p>
        </w:tc>
        <w:tc>
          <w:tcPr>
            <w:tcW w:w="1375" w:type="dxa"/>
            <w:shd w:val="clear" w:color="auto" w:fill="FFFFFF" w:themeFill="background1"/>
            <w:noWrap/>
            <w:hideMark/>
          </w:tcPr>
          <w:p w14:paraId="304B1AD5" w14:textId="77777777" w:rsidR="00FA2E3E" w:rsidRPr="00122283" w:rsidRDefault="00FA2E3E" w:rsidP="00FA2E3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-0.0192</w:t>
            </w:r>
          </w:p>
        </w:tc>
        <w:tc>
          <w:tcPr>
            <w:tcW w:w="1551" w:type="dxa"/>
            <w:shd w:val="clear" w:color="auto" w:fill="FFFFFF" w:themeFill="background1"/>
            <w:noWrap/>
            <w:hideMark/>
          </w:tcPr>
          <w:p w14:paraId="4C512383" w14:textId="77777777" w:rsidR="00FA2E3E" w:rsidRPr="00122283" w:rsidRDefault="00FA2E3E" w:rsidP="00FA2E3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0.0087</w:t>
            </w:r>
          </w:p>
        </w:tc>
        <w:tc>
          <w:tcPr>
            <w:tcW w:w="775" w:type="dxa"/>
            <w:shd w:val="clear" w:color="auto" w:fill="FFFFFF" w:themeFill="background1"/>
            <w:noWrap/>
            <w:hideMark/>
          </w:tcPr>
          <w:p w14:paraId="5FCC3307" w14:textId="77777777" w:rsidR="00FA2E3E" w:rsidRPr="00122283" w:rsidRDefault="00FA2E3E" w:rsidP="00FA2E3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-2.21</w:t>
            </w:r>
          </w:p>
        </w:tc>
        <w:tc>
          <w:tcPr>
            <w:tcW w:w="802" w:type="dxa"/>
            <w:shd w:val="clear" w:color="auto" w:fill="FFFFFF" w:themeFill="background1"/>
            <w:noWrap/>
            <w:hideMark/>
          </w:tcPr>
          <w:p w14:paraId="37CE7699" w14:textId="77777777" w:rsidR="00FA2E3E" w:rsidRPr="00122283" w:rsidRDefault="00FA2E3E" w:rsidP="00FA2E3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0.028</w:t>
            </w:r>
          </w:p>
        </w:tc>
        <w:tc>
          <w:tcPr>
            <w:tcW w:w="1524" w:type="dxa"/>
            <w:shd w:val="clear" w:color="auto" w:fill="FFFFFF" w:themeFill="background1"/>
            <w:noWrap/>
            <w:hideMark/>
          </w:tcPr>
          <w:p w14:paraId="06A8AA5F" w14:textId="77777777" w:rsidR="00FA2E3E" w:rsidRPr="00122283" w:rsidRDefault="00FA2E3E" w:rsidP="00FA2E3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-0.0364</w:t>
            </w:r>
          </w:p>
        </w:tc>
        <w:tc>
          <w:tcPr>
            <w:tcW w:w="1654" w:type="dxa"/>
            <w:shd w:val="clear" w:color="auto" w:fill="FFFFFF" w:themeFill="background1"/>
            <w:noWrap/>
            <w:hideMark/>
          </w:tcPr>
          <w:p w14:paraId="0F9CA960" w14:textId="77777777" w:rsidR="00FA2E3E" w:rsidRPr="00122283" w:rsidRDefault="00FA2E3E" w:rsidP="00FA2E3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-0.0021</w:t>
            </w:r>
          </w:p>
        </w:tc>
      </w:tr>
      <w:tr w:rsidR="00FA2E3E" w:rsidRPr="0034214C" w14:paraId="7C97DD71" w14:textId="77777777" w:rsidTr="005C287B">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680" w:type="dxa"/>
            <w:shd w:val="clear" w:color="auto" w:fill="FFFFFF" w:themeFill="background1"/>
            <w:noWrap/>
            <w:hideMark/>
          </w:tcPr>
          <w:p w14:paraId="7A658417" w14:textId="00EC4F8F" w:rsidR="00FA2E3E" w:rsidRPr="00961DBD" w:rsidRDefault="0062217F" w:rsidP="00FA2E3E">
            <w:pPr>
              <w:jc w:val="both"/>
              <w:rPr>
                <w:rFonts w:ascii="Calibri" w:eastAsia="Times New Roman" w:hAnsi="Calibri" w:cs="Calibri"/>
                <w:b w:val="0"/>
                <w:bCs w:val="0"/>
                <w:color w:val="000000" w:themeColor="text1"/>
              </w:rPr>
            </w:pPr>
            <m:oMathPara>
              <m:oMathParaPr>
                <m:jc m:val="left"/>
              </m:oMathParaPr>
              <m:oMath>
                <m:sSub>
                  <m:sSubPr>
                    <m:ctrlPr>
                      <w:rPr>
                        <w:rFonts w:ascii="Cambria Math" w:eastAsiaTheme="minorEastAsia" w:hAnsi="Cambria Math"/>
                        <w:b w:val="0"/>
                        <w:bCs w:val="0"/>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4</m:t>
                    </m:r>
                  </m:sub>
                </m:sSub>
              </m:oMath>
            </m:oMathPara>
          </w:p>
        </w:tc>
        <w:tc>
          <w:tcPr>
            <w:tcW w:w="1375" w:type="dxa"/>
            <w:shd w:val="clear" w:color="auto" w:fill="FFFFFF" w:themeFill="background1"/>
            <w:noWrap/>
            <w:hideMark/>
          </w:tcPr>
          <w:p w14:paraId="2389563A" w14:textId="77777777" w:rsidR="00FA2E3E" w:rsidRPr="00122283" w:rsidRDefault="00FA2E3E" w:rsidP="00FA2E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-0.0143</w:t>
            </w:r>
          </w:p>
        </w:tc>
        <w:tc>
          <w:tcPr>
            <w:tcW w:w="1551" w:type="dxa"/>
            <w:shd w:val="clear" w:color="auto" w:fill="FFFFFF" w:themeFill="background1"/>
            <w:noWrap/>
            <w:hideMark/>
          </w:tcPr>
          <w:p w14:paraId="66BDA9E3" w14:textId="77777777" w:rsidR="00FA2E3E" w:rsidRPr="00122283" w:rsidRDefault="00FA2E3E" w:rsidP="00FA2E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0.0106</w:t>
            </w:r>
          </w:p>
        </w:tc>
        <w:tc>
          <w:tcPr>
            <w:tcW w:w="775" w:type="dxa"/>
            <w:shd w:val="clear" w:color="auto" w:fill="FFFFFF" w:themeFill="background1"/>
            <w:noWrap/>
            <w:hideMark/>
          </w:tcPr>
          <w:p w14:paraId="152B59DC" w14:textId="77777777" w:rsidR="00FA2E3E" w:rsidRPr="00122283" w:rsidRDefault="00FA2E3E" w:rsidP="00FA2E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-1.35</w:t>
            </w:r>
          </w:p>
        </w:tc>
        <w:tc>
          <w:tcPr>
            <w:tcW w:w="802" w:type="dxa"/>
            <w:shd w:val="clear" w:color="auto" w:fill="FFFFFF" w:themeFill="background1"/>
            <w:noWrap/>
            <w:hideMark/>
          </w:tcPr>
          <w:p w14:paraId="3B231215" w14:textId="77777777" w:rsidR="00FA2E3E" w:rsidRPr="00122283" w:rsidRDefault="00FA2E3E" w:rsidP="00FA2E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0.178</w:t>
            </w:r>
          </w:p>
        </w:tc>
        <w:tc>
          <w:tcPr>
            <w:tcW w:w="1524" w:type="dxa"/>
            <w:shd w:val="clear" w:color="auto" w:fill="FFFFFF" w:themeFill="background1"/>
            <w:noWrap/>
            <w:hideMark/>
          </w:tcPr>
          <w:p w14:paraId="4B797C35" w14:textId="77777777" w:rsidR="00FA2E3E" w:rsidRPr="00122283" w:rsidRDefault="00FA2E3E" w:rsidP="00FA2E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-0.0350</w:t>
            </w:r>
          </w:p>
        </w:tc>
        <w:tc>
          <w:tcPr>
            <w:tcW w:w="1654" w:type="dxa"/>
            <w:shd w:val="clear" w:color="auto" w:fill="FFFFFF" w:themeFill="background1"/>
            <w:noWrap/>
            <w:hideMark/>
          </w:tcPr>
          <w:p w14:paraId="0E9EC929" w14:textId="77777777" w:rsidR="00FA2E3E" w:rsidRPr="00122283" w:rsidRDefault="00FA2E3E" w:rsidP="00FA2E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0.0065</w:t>
            </w:r>
          </w:p>
        </w:tc>
      </w:tr>
      <w:tr w:rsidR="00FA2E3E" w:rsidRPr="0034214C" w14:paraId="76CDCB45" w14:textId="77777777" w:rsidTr="005C287B">
        <w:trPr>
          <w:trHeight w:val="262"/>
        </w:trPr>
        <w:tc>
          <w:tcPr>
            <w:cnfStyle w:val="001000000000" w:firstRow="0" w:lastRow="0" w:firstColumn="1" w:lastColumn="0" w:oddVBand="0" w:evenVBand="0" w:oddHBand="0" w:evenHBand="0" w:firstRowFirstColumn="0" w:firstRowLastColumn="0" w:lastRowFirstColumn="0" w:lastRowLastColumn="0"/>
            <w:tcW w:w="1680" w:type="dxa"/>
            <w:shd w:val="clear" w:color="auto" w:fill="FFFFFF" w:themeFill="background1"/>
            <w:noWrap/>
            <w:hideMark/>
          </w:tcPr>
          <w:p w14:paraId="6917370D" w14:textId="1566FAB7" w:rsidR="00FA2E3E" w:rsidRPr="00961DBD" w:rsidRDefault="0062217F" w:rsidP="00FA2E3E">
            <w:pPr>
              <w:jc w:val="both"/>
              <w:rPr>
                <w:rFonts w:ascii="Calibri" w:eastAsia="Times New Roman" w:hAnsi="Calibri" w:cs="Calibri"/>
                <w:b w:val="0"/>
                <w:bCs w:val="0"/>
                <w:color w:val="000000" w:themeColor="text1"/>
              </w:rPr>
            </w:pPr>
            <m:oMathPara>
              <m:oMathParaPr>
                <m:jc m:val="left"/>
              </m:oMathParaPr>
              <m:oMath>
                <m:sSub>
                  <m:sSubPr>
                    <m:ctrlPr>
                      <w:rPr>
                        <w:rFonts w:ascii="Cambria Math" w:eastAsiaTheme="minorEastAsia" w:hAnsi="Cambria Math"/>
                        <w:b w:val="0"/>
                        <w:bCs w:val="0"/>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5</m:t>
                    </m:r>
                  </m:sub>
                </m:sSub>
              </m:oMath>
            </m:oMathPara>
          </w:p>
        </w:tc>
        <w:tc>
          <w:tcPr>
            <w:tcW w:w="1375" w:type="dxa"/>
            <w:shd w:val="clear" w:color="auto" w:fill="FFFFFF" w:themeFill="background1"/>
            <w:noWrap/>
            <w:hideMark/>
          </w:tcPr>
          <w:p w14:paraId="3AA7E96E" w14:textId="77777777" w:rsidR="00FA2E3E" w:rsidRPr="00122283" w:rsidRDefault="00FA2E3E" w:rsidP="00FA2E3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-0.0066</w:t>
            </w:r>
          </w:p>
        </w:tc>
        <w:tc>
          <w:tcPr>
            <w:tcW w:w="1551" w:type="dxa"/>
            <w:shd w:val="clear" w:color="auto" w:fill="FFFFFF" w:themeFill="background1"/>
            <w:noWrap/>
            <w:hideMark/>
          </w:tcPr>
          <w:p w14:paraId="56B2F687" w14:textId="77777777" w:rsidR="00FA2E3E" w:rsidRPr="00122283" w:rsidRDefault="00FA2E3E" w:rsidP="00FA2E3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0.0068</w:t>
            </w:r>
          </w:p>
        </w:tc>
        <w:tc>
          <w:tcPr>
            <w:tcW w:w="775" w:type="dxa"/>
            <w:shd w:val="clear" w:color="auto" w:fill="FFFFFF" w:themeFill="background1"/>
            <w:noWrap/>
            <w:hideMark/>
          </w:tcPr>
          <w:p w14:paraId="2AA88385" w14:textId="77777777" w:rsidR="00FA2E3E" w:rsidRPr="00122283" w:rsidRDefault="00FA2E3E" w:rsidP="00FA2E3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-0.97</w:t>
            </w:r>
          </w:p>
        </w:tc>
        <w:tc>
          <w:tcPr>
            <w:tcW w:w="802" w:type="dxa"/>
            <w:shd w:val="clear" w:color="auto" w:fill="FFFFFF" w:themeFill="background1"/>
            <w:noWrap/>
            <w:hideMark/>
          </w:tcPr>
          <w:p w14:paraId="1DCA3D11" w14:textId="77777777" w:rsidR="00FA2E3E" w:rsidRPr="00122283" w:rsidRDefault="00FA2E3E" w:rsidP="00FA2E3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0.332</w:t>
            </w:r>
          </w:p>
        </w:tc>
        <w:tc>
          <w:tcPr>
            <w:tcW w:w="1524" w:type="dxa"/>
            <w:shd w:val="clear" w:color="auto" w:fill="FFFFFF" w:themeFill="background1"/>
            <w:noWrap/>
            <w:hideMark/>
          </w:tcPr>
          <w:p w14:paraId="72956E0B" w14:textId="77777777" w:rsidR="00FA2E3E" w:rsidRPr="00122283" w:rsidRDefault="00FA2E3E" w:rsidP="00FA2E3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-0.0200</w:t>
            </w:r>
          </w:p>
        </w:tc>
        <w:tc>
          <w:tcPr>
            <w:tcW w:w="1654" w:type="dxa"/>
            <w:shd w:val="clear" w:color="auto" w:fill="FFFFFF" w:themeFill="background1"/>
            <w:noWrap/>
            <w:hideMark/>
          </w:tcPr>
          <w:p w14:paraId="69AB9707" w14:textId="77777777" w:rsidR="00FA2E3E" w:rsidRPr="00122283" w:rsidRDefault="00FA2E3E" w:rsidP="00FA2E3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0.0068</w:t>
            </w:r>
          </w:p>
        </w:tc>
      </w:tr>
      <w:tr w:rsidR="00FA2E3E" w:rsidRPr="0034214C" w14:paraId="5FBE10AE" w14:textId="77777777" w:rsidTr="005C287B">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680" w:type="dxa"/>
            <w:shd w:val="clear" w:color="auto" w:fill="FFFFFF" w:themeFill="background1"/>
            <w:noWrap/>
            <w:hideMark/>
          </w:tcPr>
          <w:p w14:paraId="4FFC0D34" w14:textId="543B43E2" w:rsidR="00FA2E3E" w:rsidRPr="00961DBD" w:rsidRDefault="0062217F" w:rsidP="00FA2E3E">
            <w:pPr>
              <w:jc w:val="both"/>
              <w:rPr>
                <w:rFonts w:ascii="Calibri" w:eastAsia="Times New Roman" w:hAnsi="Calibri" w:cs="Calibri"/>
                <w:b w:val="0"/>
                <w:bCs w:val="0"/>
                <w:color w:val="000000" w:themeColor="text1"/>
              </w:rPr>
            </w:pPr>
            <m:oMathPara>
              <m:oMathParaPr>
                <m:jc m:val="left"/>
              </m:oMathParaPr>
              <m:oMath>
                <m:sSub>
                  <m:sSubPr>
                    <m:ctrlPr>
                      <w:rPr>
                        <w:rFonts w:ascii="Cambria Math" w:eastAsiaTheme="minorEastAsia" w:hAnsi="Cambria Math"/>
                        <w:b w:val="0"/>
                        <w:bCs w:val="0"/>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6</m:t>
                    </m:r>
                  </m:sub>
                </m:sSub>
              </m:oMath>
            </m:oMathPara>
          </w:p>
        </w:tc>
        <w:tc>
          <w:tcPr>
            <w:tcW w:w="1375" w:type="dxa"/>
            <w:shd w:val="clear" w:color="auto" w:fill="FFFFFF" w:themeFill="background1"/>
            <w:noWrap/>
            <w:hideMark/>
          </w:tcPr>
          <w:p w14:paraId="1393568A" w14:textId="77777777" w:rsidR="00FA2E3E" w:rsidRPr="00122283" w:rsidRDefault="00FA2E3E" w:rsidP="00FA2E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0.0196</w:t>
            </w:r>
          </w:p>
        </w:tc>
        <w:tc>
          <w:tcPr>
            <w:tcW w:w="1551" w:type="dxa"/>
            <w:shd w:val="clear" w:color="auto" w:fill="FFFFFF" w:themeFill="background1"/>
            <w:noWrap/>
            <w:hideMark/>
          </w:tcPr>
          <w:p w14:paraId="166BAD06" w14:textId="77777777" w:rsidR="00FA2E3E" w:rsidRPr="00122283" w:rsidRDefault="00FA2E3E" w:rsidP="00FA2E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0.0073</w:t>
            </w:r>
          </w:p>
        </w:tc>
        <w:tc>
          <w:tcPr>
            <w:tcW w:w="775" w:type="dxa"/>
            <w:shd w:val="clear" w:color="auto" w:fill="FFFFFF" w:themeFill="background1"/>
            <w:noWrap/>
            <w:hideMark/>
          </w:tcPr>
          <w:p w14:paraId="3BD97E32" w14:textId="77777777" w:rsidR="00FA2E3E" w:rsidRPr="00122283" w:rsidRDefault="00FA2E3E" w:rsidP="00FA2E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2.68</w:t>
            </w:r>
          </w:p>
        </w:tc>
        <w:tc>
          <w:tcPr>
            <w:tcW w:w="802" w:type="dxa"/>
            <w:shd w:val="clear" w:color="auto" w:fill="FFFFFF" w:themeFill="background1"/>
            <w:noWrap/>
            <w:hideMark/>
          </w:tcPr>
          <w:p w14:paraId="21CB14CA" w14:textId="77777777" w:rsidR="00FA2E3E" w:rsidRPr="00122283" w:rsidRDefault="00FA2E3E" w:rsidP="00FA2E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0.008</w:t>
            </w:r>
          </w:p>
        </w:tc>
        <w:tc>
          <w:tcPr>
            <w:tcW w:w="1524" w:type="dxa"/>
            <w:shd w:val="clear" w:color="auto" w:fill="FFFFFF" w:themeFill="background1"/>
            <w:noWrap/>
            <w:hideMark/>
          </w:tcPr>
          <w:p w14:paraId="06E94DF2" w14:textId="77777777" w:rsidR="00FA2E3E" w:rsidRPr="00122283" w:rsidRDefault="00FA2E3E" w:rsidP="00FA2E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0.0052</w:t>
            </w:r>
          </w:p>
        </w:tc>
        <w:tc>
          <w:tcPr>
            <w:tcW w:w="1654" w:type="dxa"/>
            <w:shd w:val="clear" w:color="auto" w:fill="FFFFFF" w:themeFill="background1"/>
            <w:noWrap/>
            <w:hideMark/>
          </w:tcPr>
          <w:p w14:paraId="3F5FF81C" w14:textId="77777777" w:rsidR="00FA2E3E" w:rsidRPr="00122283" w:rsidRDefault="00FA2E3E" w:rsidP="00FA2E3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0.0340</w:t>
            </w:r>
          </w:p>
        </w:tc>
      </w:tr>
      <w:tr w:rsidR="008818A0" w:rsidRPr="0034214C" w14:paraId="676D5A78" w14:textId="77777777" w:rsidTr="005C287B">
        <w:trPr>
          <w:trHeight w:val="262"/>
        </w:trPr>
        <w:tc>
          <w:tcPr>
            <w:cnfStyle w:val="001000000000" w:firstRow="0" w:lastRow="0" w:firstColumn="1" w:lastColumn="0" w:oddVBand="0" w:evenVBand="0" w:oddHBand="0" w:evenHBand="0" w:firstRowFirstColumn="0" w:firstRowLastColumn="0" w:lastRowFirstColumn="0" w:lastRowLastColumn="0"/>
            <w:tcW w:w="1680" w:type="dxa"/>
            <w:shd w:val="clear" w:color="auto" w:fill="FFFFFF" w:themeFill="background1"/>
            <w:noWrap/>
            <w:hideMark/>
          </w:tcPr>
          <w:p w14:paraId="1992BA21" w14:textId="56CF2ACD" w:rsidR="008818A0" w:rsidRPr="00961DBD" w:rsidRDefault="008818A0" w:rsidP="00E64E4D">
            <w:pPr>
              <w:rPr>
                <w:rFonts w:ascii="Calibri" w:eastAsia="Times New Roman" w:hAnsi="Calibri" w:cs="Calibri"/>
                <w:b w:val="0"/>
                <w:bCs w:val="0"/>
                <w:color w:val="000000" w:themeColor="text1"/>
              </w:rPr>
            </w:pPr>
            <w:r w:rsidRPr="00961DBD">
              <w:rPr>
                <w:rFonts w:ascii="Calibri" w:eastAsia="Times New Roman" w:hAnsi="Calibri" w:cs="Calibri"/>
                <w:b w:val="0"/>
                <w:bCs w:val="0"/>
                <w:color w:val="000000" w:themeColor="text1"/>
              </w:rPr>
              <w:t>Chile</w:t>
            </w:r>
            <w:r w:rsidR="00FB1416" w:rsidRPr="00961DBD">
              <w:rPr>
                <w:rFonts w:ascii="Calibri" w:eastAsia="Times New Roman" w:hAnsi="Calibri" w:cs="Calibri"/>
                <w:b w:val="0"/>
                <w:bCs w:val="0"/>
                <w:color w:val="000000" w:themeColor="text1"/>
              </w:rPr>
              <w:t xml:space="preserve"> Inf.</w:t>
            </w:r>
            <w:r w:rsidRPr="00961DBD">
              <w:rPr>
                <w:rFonts w:ascii="Calibri" w:eastAsia="Times New Roman" w:hAnsi="Calibri" w:cs="Calibri"/>
                <w:b w:val="0"/>
                <w:bCs w:val="0"/>
                <w:color w:val="000000" w:themeColor="text1"/>
              </w:rPr>
              <w:t xml:space="preserve"> </w:t>
            </w:r>
            <m:oMath>
              <m:sSub>
                <m:sSubPr>
                  <m:ctrlPr>
                    <w:rPr>
                      <w:rFonts w:ascii="Cambria Math" w:eastAsiaTheme="minorEastAsia" w:hAnsi="Cambria Math"/>
                      <w:b w:val="0"/>
                      <w:bCs w:val="0"/>
                      <w:sz w:val="24"/>
                      <w:szCs w:val="24"/>
                      <w:lang w:val="es-CL"/>
                    </w:rPr>
                  </m:ctrlPr>
                </m:sSubPr>
                <m:e>
                  <m:r>
                    <m:rPr>
                      <m:sty m:val="p"/>
                    </m:rPr>
                    <w:rPr>
                      <w:rFonts w:ascii="Cambria Math" w:eastAsiaTheme="minorEastAsia" w:hAnsi="Cambria Math"/>
                      <w:sz w:val="24"/>
                      <w:szCs w:val="24"/>
                      <w:lang w:val="es-CL"/>
                    </w:rPr>
                    <m:t>L</m:t>
                  </m:r>
                </m:e>
                <m:sub>
                  <m:r>
                    <m:rPr>
                      <m:sty m:val="p"/>
                    </m:rPr>
                    <w:rPr>
                      <w:rFonts w:ascii="Cambria Math" w:eastAsiaTheme="minorEastAsia" w:hAnsi="Cambria Math"/>
                      <w:sz w:val="24"/>
                      <w:szCs w:val="24"/>
                      <w:lang w:val="es-CL"/>
                    </w:rPr>
                    <m:t>1</m:t>
                  </m:r>
                </m:sub>
              </m:sSub>
            </m:oMath>
          </w:p>
        </w:tc>
        <w:tc>
          <w:tcPr>
            <w:tcW w:w="1375" w:type="dxa"/>
            <w:shd w:val="clear" w:color="auto" w:fill="FFFFFF" w:themeFill="background1"/>
            <w:noWrap/>
            <w:hideMark/>
          </w:tcPr>
          <w:p w14:paraId="2CFB5271" w14:textId="77777777" w:rsidR="008818A0" w:rsidRPr="00122283" w:rsidRDefault="008818A0" w:rsidP="00E64E4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0.3831</w:t>
            </w:r>
          </w:p>
        </w:tc>
        <w:tc>
          <w:tcPr>
            <w:tcW w:w="1551" w:type="dxa"/>
            <w:shd w:val="clear" w:color="auto" w:fill="FFFFFF" w:themeFill="background1"/>
            <w:noWrap/>
            <w:hideMark/>
          </w:tcPr>
          <w:p w14:paraId="40967358" w14:textId="77777777" w:rsidR="008818A0" w:rsidRPr="00122283" w:rsidRDefault="008818A0" w:rsidP="00E64E4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0.6110</w:t>
            </w:r>
          </w:p>
        </w:tc>
        <w:tc>
          <w:tcPr>
            <w:tcW w:w="775" w:type="dxa"/>
            <w:shd w:val="clear" w:color="auto" w:fill="FFFFFF" w:themeFill="background1"/>
            <w:noWrap/>
            <w:hideMark/>
          </w:tcPr>
          <w:p w14:paraId="66D3DCF2" w14:textId="77777777" w:rsidR="008818A0" w:rsidRPr="00122283" w:rsidRDefault="008818A0" w:rsidP="00E64E4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0.63</w:t>
            </w:r>
          </w:p>
        </w:tc>
        <w:tc>
          <w:tcPr>
            <w:tcW w:w="802" w:type="dxa"/>
            <w:shd w:val="clear" w:color="auto" w:fill="FFFFFF" w:themeFill="background1"/>
            <w:noWrap/>
            <w:hideMark/>
          </w:tcPr>
          <w:p w14:paraId="68D011EB" w14:textId="77777777" w:rsidR="008818A0" w:rsidRPr="00122283" w:rsidRDefault="008818A0" w:rsidP="00E64E4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0.531</w:t>
            </w:r>
          </w:p>
        </w:tc>
        <w:tc>
          <w:tcPr>
            <w:tcW w:w="1524" w:type="dxa"/>
            <w:shd w:val="clear" w:color="auto" w:fill="FFFFFF" w:themeFill="background1"/>
            <w:noWrap/>
            <w:hideMark/>
          </w:tcPr>
          <w:p w14:paraId="114C54B1" w14:textId="77777777" w:rsidR="008818A0" w:rsidRPr="00122283" w:rsidRDefault="008818A0" w:rsidP="00E64E4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-0.8205</w:t>
            </w:r>
          </w:p>
        </w:tc>
        <w:tc>
          <w:tcPr>
            <w:tcW w:w="1654" w:type="dxa"/>
            <w:shd w:val="clear" w:color="auto" w:fill="FFFFFF" w:themeFill="background1"/>
            <w:noWrap/>
            <w:hideMark/>
          </w:tcPr>
          <w:p w14:paraId="3859C87E" w14:textId="77777777" w:rsidR="008818A0" w:rsidRPr="00122283" w:rsidRDefault="008818A0" w:rsidP="00E64E4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1.5866</w:t>
            </w:r>
          </w:p>
        </w:tc>
      </w:tr>
      <w:tr w:rsidR="008818A0" w:rsidRPr="0034214C" w14:paraId="4E325ED4" w14:textId="77777777" w:rsidTr="005C287B">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680" w:type="dxa"/>
            <w:shd w:val="clear" w:color="auto" w:fill="FFFFFF" w:themeFill="background1"/>
            <w:noWrap/>
            <w:hideMark/>
          </w:tcPr>
          <w:p w14:paraId="69349F7C" w14:textId="2169C41D" w:rsidR="008818A0" w:rsidRPr="00961DBD" w:rsidRDefault="00961DBD" w:rsidP="00E64E4D">
            <w:pPr>
              <w:rPr>
                <w:rFonts w:ascii="Calibri" w:eastAsia="Times New Roman" w:hAnsi="Calibri" w:cs="Calibri"/>
                <w:b w:val="0"/>
                <w:bCs w:val="0"/>
                <w:color w:val="000000" w:themeColor="text1"/>
              </w:rPr>
            </w:pPr>
            <m:oMathPara>
              <m:oMathParaPr>
                <m:jc m:val="left"/>
              </m:oMathParaPr>
              <m:oMath>
                <m:r>
                  <w:rPr>
                    <w:rFonts w:ascii="Cambria Math" w:eastAsia="Times New Roman" w:hAnsi="Cambria Math" w:cs="Calibri"/>
                    <w:color w:val="000000"/>
                  </w:rPr>
                  <m:t>∆E</m:t>
                </m:r>
                <m:r>
                  <m:rPr>
                    <m:sty m:val="p"/>
                  </m:rPr>
                  <w:rPr>
                    <w:rFonts w:ascii="Cambria Math" w:eastAsiaTheme="minorEastAsia" w:hAnsi="Cambria Math"/>
                    <w:sz w:val="24"/>
                    <w:szCs w:val="24"/>
                    <w:lang w:val="es-CL"/>
                  </w:rPr>
                  <m:t xml:space="preserve"> </m:t>
                </m:r>
                <m:sSub>
                  <m:sSubPr>
                    <m:ctrlPr>
                      <w:rPr>
                        <w:rFonts w:ascii="Cambria Math" w:eastAsiaTheme="minorEastAsia" w:hAnsi="Cambria Math"/>
                        <w:b w:val="0"/>
                        <w:bCs w:val="0"/>
                        <w:sz w:val="24"/>
                        <w:szCs w:val="24"/>
                        <w:lang w:val="es-CL"/>
                      </w:rPr>
                    </m:ctrlPr>
                  </m:sSubPr>
                  <m:e>
                    <m:r>
                      <m:rPr>
                        <m:sty m:val="p"/>
                      </m:rPr>
                      <w:rPr>
                        <w:rFonts w:ascii="Cambria Math" w:eastAsiaTheme="minorEastAsia" w:hAnsi="Cambria Math"/>
                        <w:sz w:val="24"/>
                        <w:szCs w:val="24"/>
                        <w:lang w:val="es-CL"/>
                      </w:rPr>
                      <m:t>L</m:t>
                    </m:r>
                  </m:e>
                  <m:sub>
                    <m:r>
                      <m:rPr>
                        <m:sty m:val="p"/>
                      </m:rPr>
                      <w:rPr>
                        <w:rFonts w:ascii="Cambria Math" w:eastAsiaTheme="minorEastAsia" w:hAnsi="Cambria Math"/>
                        <w:sz w:val="24"/>
                        <w:szCs w:val="24"/>
                        <w:lang w:val="es-CL"/>
                      </w:rPr>
                      <m:t>1</m:t>
                    </m:r>
                  </m:sub>
                </m:sSub>
              </m:oMath>
            </m:oMathPara>
          </w:p>
        </w:tc>
        <w:tc>
          <w:tcPr>
            <w:tcW w:w="1375" w:type="dxa"/>
            <w:shd w:val="clear" w:color="auto" w:fill="FFFFFF" w:themeFill="background1"/>
            <w:noWrap/>
            <w:hideMark/>
          </w:tcPr>
          <w:p w14:paraId="22D7357C" w14:textId="77777777" w:rsidR="008818A0" w:rsidRPr="00122283" w:rsidRDefault="008818A0" w:rsidP="00E64E4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0.2512</w:t>
            </w:r>
          </w:p>
        </w:tc>
        <w:tc>
          <w:tcPr>
            <w:tcW w:w="1551" w:type="dxa"/>
            <w:shd w:val="clear" w:color="auto" w:fill="FFFFFF" w:themeFill="background1"/>
            <w:noWrap/>
            <w:hideMark/>
          </w:tcPr>
          <w:p w14:paraId="352B9CEE" w14:textId="77777777" w:rsidR="008818A0" w:rsidRPr="00122283" w:rsidRDefault="008818A0" w:rsidP="00E64E4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0.0620</w:t>
            </w:r>
          </w:p>
        </w:tc>
        <w:tc>
          <w:tcPr>
            <w:tcW w:w="775" w:type="dxa"/>
            <w:shd w:val="clear" w:color="auto" w:fill="FFFFFF" w:themeFill="background1"/>
            <w:noWrap/>
            <w:hideMark/>
          </w:tcPr>
          <w:p w14:paraId="653029DB" w14:textId="77777777" w:rsidR="008818A0" w:rsidRPr="00122283" w:rsidRDefault="008818A0" w:rsidP="00E64E4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4.05</w:t>
            </w:r>
          </w:p>
        </w:tc>
        <w:tc>
          <w:tcPr>
            <w:tcW w:w="802" w:type="dxa"/>
            <w:shd w:val="clear" w:color="auto" w:fill="FFFFFF" w:themeFill="background1"/>
            <w:noWrap/>
            <w:hideMark/>
          </w:tcPr>
          <w:p w14:paraId="03C296C5" w14:textId="77777777" w:rsidR="008818A0" w:rsidRPr="00122283" w:rsidRDefault="008818A0" w:rsidP="00E64E4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w:t>
            </w:r>
          </w:p>
        </w:tc>
        <w:tc>
          <w:tcPr>
            <w:tcW w:w="1524" w:type="dxa"/>
            <w:shd w:val="clear" w:color="auto" w:fill="FFFFFF" w:themeFill="background1"/>
            <w:noWrap/>
            <w:hideMark/>
          </w:tcPr>
          <w:p w14:paraId="5B1EBFBC" w14:textId="77777777" w:rsidR="008818A0" w:rsidRPr="00122283" w:rsidRDefault="008818A0" w:rsidP="00E64E4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0.1291</w:t>
            </w:r>
          </w:p>
        </w:tc>
        <w:tc>
          <w:tcPr>
            <w:tcW w:w="1654" w:type="dxa"/>
            <w:shd w:val="clear" w:color="auto" w:fill="FFFFFF" w:themeFill="background1"/>
            <w:noWrap/>
            <w:hideMark/>
          </w:tcPr>
          <w:p w14:paraId="45AE63AB" w14:textId="77777777" w:rsidR="008818A0" w:rsidRPr="00122283" w:rsidRDefault="008818A0" w:rsidP="00E64E4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0.3733</w:t>
            </w:r>
          </w:p>
        </w:tc>
      </w:tr>
      <w:tr w:rsidR="008818A0" w:rsidRPr="0034214C" w14:paraId="7B2E66F7" w14:textId="77777777" w:rsidTr="005C287B">
        <w:trPr>
          <w:trHeight w:val="262"/>
        </w:trPr>
        <w:tc>
          <w:tcPr>
            <w:cnfStyle w:val="001000000000" w:firstRow="0" w:lastRow="0" w:firstColumn="1" w:lastColumn="0" w:oddVBand="0" w:evenVBand="0" w:oddHBand="0" w:evenHBand="0" w:firstRowFirstColumn="0" w:firstRowLastColumn="0" w:lastRowFirstColumn="0" w:lastRowLastColumn="0"/>
            <w:tcW w:w="1680" w:type="dxa"/>
            <w:shd w:val="clear" w:color="auto" w:fill="FFFFFF" w:themeFill="background1"/>
            <w:noWrap/>
            <w:hideMark/>
          </w:tcPr>
          <w:p w14:paraId="7D6CBE55" w14:textId="0733C5B8" w:rsidR="008818A0" w:rsidRPr="00961DBD" w:rsidRDefault="00961DBD" w:rsidP="00E64E4D">
            <w:pPr>
              <w:rPr>
                <w:rFonts w:ascii="Calibri" w:eastAsia="Times New Roman" w:hAnsi="Calibri" w:cs="Calibri"/>
                <w:b w:val="0"/>
                <w:bCs w:val="0"/>
                <w:color w:val="000000" w:themeColor="text1"/>
              </w:rPr>
            </w:pPr>
            <m:oMathPara>
              <m:oMathParaPr>
                <m:jc m:val="left"/>
              </m:oMathParaPr>
              <m:oMath>
                <m:r>
                  <w:rPr>
                    <w:rFonts w:ascii="Cambria Math" w:eastAsia="Times New Roman" w:hAnsi="Cambria Math" w:cs="Calibri"/>
                    <w:color w:val="000000"/>
                  </w:rPr>
                  <m:t xml:space="preserve">∆E </m:t>
                </m:r>
                <m:sSub>
                  <m:sSubPr>
                    <m:ctrlPr>
                      <w:rPr>
                        <w:rFonts w:ascii="Cambria Math" w:eastAsiaTheme="minorEastAsia" w:hAnsi="Cambria Math"/>
                        <w:b w:val="0"/>
                        <w:bCs w:val="0"/>
                        <w:sz w:val="24"/>
                        <w:szCs w:val="24"/>
                        <w:lang w:val="es-CL"/>
                      </w:rPr>
                    </m:ctrlPr>
                  </m:sSubPr>
                  <m:e>
                    <m:r>
                      <m:rPr>
                        <m:sty m:val="p"/>
                      </m:rPr>
                      <w:rPr>
                        <w:rFonts w:ascii="Cambria Math" w:eastAsiaTheme="minorEastAsia" w:hAnsi="Cambria Math"/>
                        <w:sz w:val="24"/>
                        <w:szCs w:val="24"/>
                        <w:lang w:val="es-CL"/>
                      </w:rPr>
                      <m:t>L</m:t>
                    </m:r>
                  </m:e>
                  <m:sub>
                    <m:r>
                      <m:rPr>
                        <m:sty m:val="p"/>
                      </m:rPr>
                      <w:rPr>
                        <w:rFonts w:ascii="Cambria Math" w:eastAsiaTheme="minorEastAsia" w:hAnsi="Cambria Math"/>
                        <w:sz w:val="24"/>
                        <w:szCs w:val="24"/>
                        <w:lang w:val="es-CL"/>
                      </w:rPr>
                      <m:t>2</m:t>
                    </m:r>
                  </m:sub>
                </m:sSub>
              </m:oMath>
            </m:oMathPara>
          </w:p>
        </w:tc>
        <w:tc>
          <w:tcPr>
            <w:tcW w:w="1375" w:type="dxa"/>
            <w:shd w:val="clear" w:color="auto" w:fill="FFFFFF" w:themeFill="background1"/>
            <w:noWrap/>
            <w:hideMark/>
          </w:tcPr>
          <w:p w14:paraId="4FCEC27B" w14:textId="77777777" w:rsidR="008818A0" w:rsidRPr="00122283" w:rsidRDefault="008818A0" w:rsidP="00E64E4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-0.0381</w:t>
            </w:r>
          </w:p>
        </w:tc>
        <w:tc>
          <w:tcPr>
            <w:tcW w:w="1551" w:type="dxa"/>
            <w:shd w:val="clear" w:color="auto" w:fill="FFFFFF" w:themeFill="background1"/>
            <w:noWrap/>
            <w:hideMark/>
          </w:tcPr>
          <w:p w14:paraId="4A07CF69" w14:textId="77777777" w:rsidR="008818A0" w:rsidRPr="00122283" w:rsidRDefault="008818A0" w:rsidP="00E64E4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0.0568</w:t>
            </w:r>
          </w:p>
        </w:tc>
        <w:tc>
          <w:tcPr>
            <w:tcW w:w="775" w:type="dxa"/>
            <w:shd w:val="clear" w:color="auto" w:fill="FFFFFF" w:themeFill="background1"/>
            <w:noWrap/>
            <w:hideMark/>
          </w:tcPr>
          <w:p w14:paraId="28ACCA1C" w14:textId="77777777" w:rsidR="008818A0" w:rsidRPr="00122283" w:rsidRDefault="008818A0" w:rsidP="00E64E4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-0.67</w:t>
            </w:r>
          </w:p>
        </w:tc>
        <w:tc>
          <w:tcPr>
            <w:tcW w:w="802" w:type="dxa"/>
            <w:shd w:val="clear" w:color="auto" w:fill="FFFFFF" w:themeFill="background1"/>
            <w:noWrap/>
            <w:hideMark/>
          </w:tcPr>
          <w:p w14:paraId="07D25B48" w14:textId="77777777" w:rsidR="008818A0" w:rsidRPr="00122283" w:rsidRDefault="008818A0" w:rsidP="00E64E4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0.503</w:t>
            </w:r>
          </w:p>
        </w:tc>
        <w:tc>
          <w:tcPr>
            <w:tcW w:w="1524" w:type="dxa"/>
            <w:shd w:val="clear" w:color="auto" w:fill="FFFFFF" w:themeFill="background1"/>
            <w:noWrap/>
            <w:hideMark/>
          </w:tcPr>
          <w:p w14:paraId="2C049B18" w14:textId="77777777" w:rsidR="008818A0" w:rsidRPr="00122283" w:rsidRDefault="008818A0" w:rsidP="00E64E4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-0.1501</w:t>
            </w:r>
          </w:p>
        </w:tc>
        <w:tc>
          <w:tcPr>
            <w:tcW w:w="1654" w:type="dxa"/>
            <w:shd w:val="clear" w:color="auto" w:fill="FFFFFF" w:themeFill="background1"/>
            <w:noWrap/>
            <w:hideMark/>
          </w:tcPr>
          <w:p w14:paraId="47BEBB90" w14:textId="77777777" w:rsidR="008818A0" w:rsidRPr="00122283" w:rsidRDefault="008818A0" w:rsidP="00E64E4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0.0738</w:t>
            </w:r>
          </w:p>
        </w:tc>
      </w:tr>
      <w:tr w:rsidR="008818A0" w:rsidRPr="0034214C" w14:paraId="12F999A0" w14:textId="77777777" w:rsidTr="005C287B">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680" w:type="dxa"/>
            <w:shd w:val="clear" w:color="auto" w:fill="FFFFFF" w:themeFill="background1"/>
            <w:noWrap/>
            <w:hideMark/>
          </w:tcPr>
          <w:p w14:paraId="3E3101E6" w14:textId="64AC8BBE" w:rsidR="008818A0" w:rsidRPr="00961DBD" w:rsidRDefault="00961DBD" w:rsidP="00E64E4D">
            <w:pPr>
              <w:rPr>
                <w:rFonts w:ascii="Calibri" w:eastAsia="Times New Roman" w:hAnsi="Calibri" w:cs="Calibri"/>
                <w:b w:val="0"/>
                <w:bCs w:val="0"/>
                <w:color w:val="000000" w:themeColor="text1"/>
              </w:rPr>
            </w:pPr>
            <m:oMath>
              <m:r>
                <w:rPr>
                  <w:rFonts w:ascii="Cambria Math" w:eastAsia="Times New Roman" w:hAnsi="Cambria Math" w:cs="Calibri"/>
                  <w:color w:val="000000"/>
                </w:rPr>
                <m:t>∆E</m:t>
              </m:r>
            </m:oMath>
            <w:r w:rsidR="00FB1416" w:rsidRPr="00961DBD">
              <w:rPr>
                <w:rFonts w:ascii="Calibri" w:eastAsia="Times New Roman" w:hAnsi="Calibri" w:cs="Calibri"/>
                <w:b w:val="0"/>
                <w:bCs w:val="0"/>
                <w:color w:val="000000" w:themeColor="text1"/>
              </w:rPr>
              <w:t xml:space="preserve"> </w:t>
            </w:r>
            <m:oMath>
              <m:sSub>
                <m:sSubPr>
                  <m:ctrlPr>
                    <w:rPr>
                      <w:rFonts w:ascii="Cambria Math" w:eastAsiaTheme="minorEastAsia" w:hAnsi="Cambria Math"/>
                      <w:b w:val="0"/>
                      <w:bCs w:val="0"/>
                      <w:sz w:val="24"/>
                      <w:szCs w:val="24"/>
                      <w:lang w:val="es-CL"/>
                    </w:rPr>
                  </m:ctrlPr>
                </m:sSubPr>
                <m:e>
                  <m:r>
                    <m:rPr>
                      <m:sty m:val="p"/>
                    </m:rPr>
                    <w:rPr>
                      <w:rFonts w:ascii="Cambria Math" w:eastAsiaTheme="minorEastAsia" w:hAnsi="Cambria Math"/>
                      <w:sz w:val="24"/>
                      <w:szCs w:val="24"/>
                      <w:lang w:val="es-CL"/>
                    </w:rPr>
                    <m:t>L</m:t>
                  </m:r>
                </m:e>
                <m:sub>
                  <m:r>
                    <m:rPr>
                      <m:sty m:val="p"/>
                    </m:rPr>
                    <w:rPr>
                      <w:rFonts w:ascii="Cambria Math" w:eastAsiaTheme="minorEastAsia" w:hAnsi="Cambria Math"/>
                      <w:sz w:val="24"/>
                      <w:szCs w:val="24"/>
                      <w:lang w:val="es-CL"/>
                    </w:rPr>
                    <m:t>3</m:t>
                  </m:r>
                </m:sub>
              </m:sSub>
            </m:oMath>
          </w:p>
        </w:tc>
        <w:tc>
          <w:tcPr>
            <w:tcW w:w="1375" w:type="dxa"/>
            <w:shd w:val="clear" w:color="auto" w:fill="FFFFFF" w:themeFill="background1"/>
            <w:noWrap/>
            <w:hideMark/>
          </w:tcPr>
          <w:p w14:paraId="7922AB3E" w14:textId="77777777" w:rsidR="008818A0" w:rsidRPr="00122283" w:rsidRDefault="008818A0" w:rsidP="00E64E4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-0.0358</w:t>
            </w:r>
          </w:p>
        </w:tc>
        <w:tc>
          <w:tcPr>
            <w:tcW w:w="1551" w:type="dxa"/>
            <w:shd w:val="clear" w:color="auto" w:fill="FFFFFF" w:themeFill="background1"/>
            <w:noWrap/>
            <w:hideMark/>
          </w:tcPr>
          <w:p w14:paraId="42106FCC" w14:textId="77777777" w:rsidR="008818A0" w:rsidRPr="00122283" w:rsidRDefault="008818A0" w:rsidP="00E64E4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0.0659</w:t>
            </w:r>
          </w:p>
        </w:tc>
        <w:tc>
          <w:tcPr>
            <w:tcW w:w="775" w:type="dxa"/>
            <w:shd w:val="clear" w:color="auto" w:fill="FFFFFF" w:themeFill="background1"/>
            <w:noWrap/>
            <w:hideMark/>
          </w:tcPr>
          <w:p w14:paraId="0B9DABC5" w14:textId="77777777" w:rsidR="008818A0" w:rsidRPr="00122283" w:rsidRDefault="008818A0" w:rsidP="00E64E4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-0.54</w:t>
            </w:r>
          </w:p>
        </w:tc>
        <w:tc>
          <w:tcPr>
            <w:tcW w:w="802" w:type="dxa"/>
            <w:shd w:val="clear" w:color="auto" w:fill="FFFFFF" w:themeFill="background1"/>
            <w:noWrap/>
            <w:hideMark/>
          </w:tcPr>
          <w:p w14:paraId="3AD3630F" w14:textId="77777777" w:rsidR="008818A0" w:rsidRPr="00122283" w:rsidRDefault="008818A0" w:rsidP="00E64E4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0.588</w:t>
            </w:r>
          </w:p>
        </w:tc>
        <w:tc>
          <w:tcPr>
            <w:tcW w:w="1524" w:type="dxa"/>
            <w:shd w:val="clear" w:color="auto" w:fill="FFFFFF" w:themeFill="background1"/>
            <w:noWrap/>
            <w:hideMark/>
          </w:tcPr>
          <w:p w14:paraId="5A8BFCA8" w14:textId="77777777" w:rsidR="008818A0" w:rsidRPr="00122283" w:rsidRDefault="008818A0" w:rsidP="00E64E4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-0.1656</w:t>
            </w:r>
          </w:p>
        </w:tc>
        <w:tc>
          <w:tcPr>
            <w:tcW w:w="1654" w:type="dxa"/>
            <w:shd w:val="clear" w:color="auto" w:fill="FFFFFF" w:themeFill="background1"/>
            <w:noWrap/>
            <w:hideMark/>
          </w:tcPr>
          <w:p w14:paraId="47689A70" w14:textId="77777777" w:rsidR="008818A0" w:rsidRPr="00122283" w:rsidRDefault="008818A0" w:rsidP="00E64E4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0.0940</w:t>
            </w:r>
          </w:p>
        </w:tc>
      </w:tr>
      <w:tr w:rsidR="008818A0" w:rsidRPr="0034214C" w14:paraId="66EF1F94" w14:textId="77777777" w:rsidTr="005C287B">
        <w:trPr>
          <w:trHeight w:val="262"/>
        </w:trPr>
        <w:tc>
          <w:tcPr>
            <w:cnfStyle w:val="001000000000" w:firstRow="0" w:lastRow="0" w:firstColumn="1" w:lastColumn="0" w:oddVBand="0" w:evenVBand="0" w:oddHBand="0" w:evenHBand="0" w:firstRowFirstColumn="0" w:firstRowLastColumn="0" w:lastRowFirstColumn="0" w:lastRowLastColumn="0"/>
            <w:tcW w:w="1680" w:type="dxa"/>
            <w:shd w:val="clear" w:color="auto" w:fill="FFFFFF" w:themeFill="background1"/>
            <w:noWrap/>
            <w:hideMark/>
          </w:tcPr>
          <w:p w14:paraId="0C8747ED" w14:textId="1438E161" w:rsidR="008818A0" w:rsidRPr="00961DBD" w:rsidRDefault="0062217F" w:rsidP="00E64E4D">
            <w:pPr>
              <w:rPr>
                <w:rFonts w:ascii="Calibri" w:eastAsia="Times New Roman" w:hAnsi="Calibri" w:cs="Calibri"/>
                <w:b w:val="0"/>
                <w:bCs w:val="0"/>
                <w:color w:val="000000" w:themeColor="text1"/>
              </w:rPr>
            </w:pPr>
            <m:oMathPara>
              <m:oMathParaPr>
                <m:jc m:val="left"/>
              </m:oMathParaPr>
              <m:oMath>
                <m:sSub>
                  <m:sSubPr>
                    <m:ctrlPr>
                      <w:rPr>
                        <w:rFonts w:ascii="Cambria Math" w:eastAsia="Times New Roman" w:hAnsi="Cambria Math" w:cs="Calibri"/>
                        <w:b w:val="0"/>
                        <w:bCs w:val="0"/>
                        <w:i/>
                        <w:color w:val="000000" w:themeColor="text1"/>
                        <w:lang w:val="es-CL"/>
                      </w:rPr>
                    </m:ctrlPr>
                  </m:sSubPr>
                  <m:e>
                    <m:r>
                      <w:rPr>
                        <w:rFonts w:ascii="Cambria Math" w:eastAsia="Times New Roman" w:hAnsi="Cambria Math" w:cs="Calibri"/>
                        <w:color w:val="000000" w:themeColor="text1"/>
                      </w:rPr>
                      <m:t>γ</m:t>
                    </m:r>
                  </m:e>
                  <m:sub>
                    <m:r>
                      <w:rPr>
                        <w:rFonts w:ascii="Cambria Math" w:eastAsia="Times New Roman" w:hAnsi="Cambria Math" w:cs="Calibri"/>
                        <w:color w:val="000000" w:themeColor="text1"/>
                      </w:rPr>
                      <m:t>0</m:t>
                    </m:r>
                  </m:sub>
                </m:sSub>
              </m:oMath>
            </m:oMathPara>
          </w:p>
        </w:tc>
        <w:tc>
          <w:tcPr>
            <w:tcW w:w="1375" w:type="dxa"/>
            <w:shd w:val="clear" w:color="auto" w:fill="FFFFFF" w:themeFill="background1"/>
            <w:noWrap/>
            <w:hideMark/>
          </w:tcPr>
          <w:p w14:paraId="3CDEF66F" w14:textId="77777777" w:rsidR="008818A0" w:rsidRPr="00122283" w:rsidRDefault="008818A0" w:rsidP="00E64E4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0.0032</w:t>
            </w:r>
          </w:p>
        </w:tc>
        <w:tc>
          <w:tcPr>
            <w:tcW w:w="1551" w:type="dxa"/>
            <w:shd w:val="clear" w:color="auto" w:fill="FFFFFF" w:themeFill="background1"/>
            <w:noWrap/>
            <w:hideMark/>
          </w:tcPr>
          <w:p w14:paraId="50A0E806" w14:textId="77777777" w:rsidR="008818A0" w:rsidRPr="00122283" w:rsidRDefault="008818A0" w:rsidP="00E64E4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0.0022</w:t>
            </w:r>
          </w:p>
        </w:tc>
        <w:tc>
          <w:tcPr>
            <w:tcW w:w="775" w:type="dxa"/>
            <w:shd w:val="clear" w:color="auto" w:fill="FFFFFF" w:themeFill="background1"/>
            <w:noWrap/>
            <w:hideMark/>
          </w:tcPr>
          <w:p w14:paraId="47F21701" w14:textId="77777777" w:rsidR="008818A0" w:rsidRPr="00122283" w:rsidRDefault="008818A0" w:rsidP="00E64E4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1.44</w:t>
            </w:r>
          </w:p>
        </w:tc>
        <w:tc>
          <w:tcPr>
            <w:tcW w:w="802" w:type="dxa"/>
            <w:shd w:val="clear" w:color="auto" w:fill="FFFFFF" w:themeFill="background1"/>
            <w:noWrap/>
            <w:hideMark/>
          </w:tcPr>
          <w:p w14:paraId="2D695FA0" w14:textId="77777777" w:rsidR="008818A0" w:rsidRPr="00122283" w:rsidRDefault="008818A0" w:rsidP="00E64E4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0.152</w:t>
            </w:r>
          </w:p>
        </w:tc>
        <w:tc>
          <w:tcPr>
            <w:tcW w:w="1524" w:type="dxa"/>
            <w:shd w:val="clear" w:color="auto" w:fill="FFFFFF" w:themeFill="background1"/>
            <w:noWrap/>
            <w:hideMark/>
          </w:tcPr>
          <w:p w14:paraId="3E8643EF" w14:textId="77777777" w:rsidR="008818A0" w:rsidRPr="00122283" w:rsidRDefault="008818A0" w:rsidP="00E64E4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-0.0012</w:t>
            </w:r>
          </w:p>
        </w:tc>
        <w:tc>
          <w:tcPr>
            <w:tcW w:w="1654" w:type="dxa"/>
            <w:shd w:val="clear" w:color="auto" w:fill="FFFFFF" w:themeFill="background1"/>
            <w:noWrap/>
            <w:hideMark/>
          </w:tcPr>
          <w:p w14:paraId="3FE8F440" w14:textId="77777777" w:rsidR="008818A0" w:rsidRPr="00122283" w:rsidRDefault="008818A0" w:rsidP="00E64E4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2283">
              <w:rPr>
                <w:rFonts w:ascii="Calibri" w:hAnsi="Calibri" w:cs="Calibri"/>
                <w:color w:val="000000"/>
              </w:rPr>
              <w:t>0.0075</w:t>
            </w:r>
          </w:p>
        </w:tc>
      </w:tr>
      <w:bookmarkEnd w:id="5"/>
    </w:tbl>
    <w:p w14:paraId="7E9B52EB" w14:textId="4783CA24" w:rsidR="008818A0" w:rsidRDefault="008818A0" w:rsidP="008818A0">
      <w:pPr>
        <w:jc w:val="both"/>
        <w:rPr>
          <w:rFonts w:eastAsiaTheme="minorEastAsia"/>
          <w:sz w:val="24"/>
          <w:szCs w:val="24"/>
          <w:lang w:val="es-CL"/>
        </w:rPr>
      </w:pPr>
    </w:p>
    <w:p w14:paraId="75A93CD1" w14:textId="67105803" w:rsidR="00576DFA" w:rsidRPr="003B6C66" w:rsidRDefault="00341FE7" w:rsidP="00392569">
      <w:pPr>
        <w:jc w:val="both"/>
        <w:rPr>
          <w:rFonts w:eastAsiaTheme="minorEastAsia"/>
          <w:sz w:val="24"/>
          <w:szCs w:val="24"/>
        </w:rPr>
      </w:pPr>
      <w:r w:rsidRPr="003B6C66">
        <w:rPr>
          <w:rFonts w:eastAsiaTheme="minorEastAsia"/>
          <w:sz w:val="24"/>
          <w:szCs w:val="24"/>
        </w:rPr>
        <w:t xml:space="preserve">Where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L</m:t>
            </m:r>
          </m:e>
          <m:sub>
            <m:r>
              <w:rPr>
                <w:rFonts w:ascii="Cambria Math" w:eastAsiaTheme="minorEastAsia" w:hAnsi="Cambria Math"/>
                <w:sz w:val="24"/>
                <w:szCs w:val="24"/>
                <w:lang w:val="es-CL"/>
              </w:rPr>
              <m:t>i</m:t>
            </m:r>
          </m:sub>
        </m:sSub>
        <m:d>
          <m:dPr>
            <m:ctrlPr>
              <w:rPr>
                <w:rFonts w:ascii="Cambria Math" w:eastAsiaTheme="minorEastAsia" w:hAnsi="Cambria Math"/>
                <w:i/>
                <w:sz w:val="24"/>
                <w:szCs w:val="24"/>
                <w:lang w:val="es-CL"/>
              </w:rPr>
            </m:ctrlPr>
          </m:dPr>
          <m:e>
            <m:r>
              <w:rPr>
                <w:rFonts w:ascii="Cambria Math" w:eastAsiaTheme="minorEastAsia" w:hAnsi="Cambria Math"/>
                <w:sz w:val="24"/>
                <w:szCs w:val="24"/>
                <w:lang w:val="es-CL"/>
              </w:rPr>
              <m:t>i</m:t>
            </m:r>
            <m:r>
              <w:rPr>
                <w:rFonts w:ascii="Cambria Math" w:eastAsiaTheme="minorEastAsia" w:hAnsi="Cambria Math"/>
                <w:sz w:val="24"/>
                <w:szCs w:val="24"/>
              </w:rPr>
              <m:t>=1,2,…</m:t>
            </m:r>
            <m:r>
              <w:rPr>
                <w:rFonts w:ascii="Cambria Math" w:eastAsiaTheme="minorEastAsia" w:hAnsi="Cambria Math"/>
                <w:sz w:val="24"/>
                <w:szCs w:val="24"/>
                <w:lang w:val="es-CL"/>
              </w:rPr>
              <m:t>n</m:t>
            </m:r>
          </m:e>
        </m:d>
      </m:oMath>
      <w:r w:rsidRPr="003B6C66">
        <w:rPr>
          <w:rFonts w:eastAsiaTheme="minorEastAsia"/>
          <w:sz w:val="24"/>
          <w:szCs w:val="24"/>
        </w:rPr>
        <w:t xml:space="preserve"> denotes the lag number </w:t>
      </w:r>
      <m:oMath>
        <m:r>
          <w:rPr>
            <w:rFonts w:ascii="Cambria Math" w:eastAsiaTheme="minorEastAsia" w:hAnsi="Cambria Math"/>
            <w:sz w:val="24"/>
            <w:szCs w:val="24"/>
            <w:lang w:val="es-CL"/>
          </w:rPr>
          <m:t>i</m:t>
        </m:r>
        <m:r>
          <w:rPr>
            <w:rFonts w:ascii="Cambria Math" w:eastAsiaTheme="minorEastAsia" w:hAnsi="Cambria Math"/>
            <w:sz w:val="24"/>
            <w:szCs w:val="24"/>
          </w:rPr>
          <m:t xml:space="preserve"> </m:t>
        </m:r>
      </m:oMath>
      <w:r w:rsidRPr="003B6C66">
        <w:rPr>
          <w:rFonts w:eastAsiaTheme="minorEastAsia"/>
          <w:sz w:val="24"/>
          <w:szCs w:val="24"/>
        </w:rPr>
        <w:t xml:space="preserve">of the corresponding variable. </w:t>
      </w:r>
      <w:r w:rsidR="00576DFA" w:rsidRPr="003B6C66">
        <w:rPr>
          <w:rFonts w:eastAsiaTheme="minorEastAsia"/>
          <w:sz w:val="24"/>
          <w:szCs w:val="24"/>
        </w:rPr>
        <w:t>As can be seen in Table 2, only dummy 6 has a positive and significant effect on the exchange rate. This dummy corresponds to the period from May 2021 to December of the same year, which corresponds to the period of acceleration in demand when the fiscal demand stimuli and the third AFP withdrawal are combined.</w:t>
      </w:r>
      <w:r w:rsidR="00A41406">
        <w:rPr>
          <w:rStyle w:val="Refdenotaalpie"/>
          <w:rFonts w:eastAsiaTheme="minorEastAsia"/>
          <w:sz w:val="24"/>
          <w:szCs w:val="24"/>
          <w:lang w:val="es-CL"/>
        </w:rPr>
        <w:footnoteReference w:id="6"/>
      </w:r>
      <w:r w:rsidR="00576DFA" w:rsidRPr="003B6C66">
        <w:rPr>
          <w:rFonts w:eastAsiaTheme="minorEastAsia"/>
          <w:sz w:val="24"/>
          <w:szCs w:val="24"/>
        </w:rPr>
        <w:t xml:space="preserve"> The coefficient of this dummy suggests that the expansion of demand explains a 1.96% increase in the monthly nominal exchange rate. </w:t>
      </w:r>
      <w:r w:rsidR="00576DFA" w:rsidRPr="003B6C66">
        <w:rPr>
          <w:rFonts w:eastAsiaTheme="minorEastAsia"/>
          <w:b/>
          <w:bCs/>
          <w:sz w:val="24"/>
          <w:szCs w:val="24"/>
        </w:rPr>
        <w:t>Important effect that has an indirect impact on inflation, reaching a net effect on inflation of 0.19% per month.</w:t>
      </w:r>
      <w:r w:rsidR="00B20C1C" w:rsidRPr="00B20C1C">
        <w:t xml:space="preserve"> </w:t>
      </w:r>
      <w:r w:rsidR="00B20C1C" w:rsidRPr="003B6C66">
        <w:rPr>
          <w:rFonts w:eastAsiaTheme="minorEastAsia"/>
          <w:b/>
          <w:bCs/>
          <w:sz w:val="24"/>
          <w:szCs w:val="24"/>
        </w:rPr>
        <w:t>In other words, the demand effect of the second half of 2021 explains almost 25% of the average inflation of that period, which was 0.83% per month.</w:t>
      </w:r>
      <w:r w:rsidR="00576DFA" w:rsidRPr="003B6C66">
        <w:rPr>
          <w:rFonts w:eastAsiaTheme="minorEastAsia"/>
          <w:b/>
          <w:bCs/>
          <w:sz w:val="24"/>
          <w:szCs w:val="24"/>
        </w:rPr>
        <w:t xml:space="preserve"> </w:t>
      </w:r>
    </w:p>
    <w:p w14:paraId="251E9B42" w14:textId="36DED23C" w:rsidR="005820FB" w:rsidRPr="003B6C66" w:rsidRDefault="005820FB" w:rsidP="00392569">
      <w:pPr>
        <w:jc w:val="both"/>
        <w:rPr>
          <w:rFonts w:eastAsiaTheme="minorEastAsia"/>
          <w:sz w:val="24"/>
          <w:szCs w:val="24"/>
        </w:rPr>
      </w:pPr>
      <w:r w:rsidRPr="003B6C66">
        <w:rPr>
          <w:rFonts w:eastAsiaTheme="minorEastAsia"/>
          <w:sz w:val="24"/>
          <w:szCs w:val="24"/>
        </w:rPr>
        <w:t>In addition to the TSLS estimation, we also use the GMM method, whose results can be considered as part of the robustness analysis of the TSL</w:t>
      </w:r>
      <w:r w:rsidR="006A5B7D" w:rsidRPr="003B6C66">
        <w:rPr>
          <w:rFonts w:eastAsiaTheme="minorEastAsia"/>
          <w:sz w:val="24"/>
          <w:szCs w:val="24"/>
        </w:rPr>
        <w:t xml:space="preserve">S </w:t>
      </w:r>
      <w:r w:rsidRPr="003B6C66">
        <w:rPr>
          <w:rFonts w:eastAsiaTheme="minorEastAsia"/>
          <w:sz w:val="24"/>
          <w:szCs w:val="24"/>
        </w:rPr>
        <w:t>estimators. Table 3 provides the results using the GMM method.</w:t>
      </w:r>
    </w:p>
    <w:p w14:paraId="1D34198C" w14:textId="77777777" w:rsidR="00E3292E" w:rsidRPr="003B6C66" w:rsidRDefault="00E3292E" w:rsidP="00392569">
      <w:pPr>
        <w:jc w:val="both"/>
        <w:rPr>
          <w:rFonts w:eastAsiaTheme="minorEastAsia"/>
          <w:sz w:val="24"/>
          <w:szCs w:val="24"/>
        </w:rPr>
      </w:pPr>
    </w:p>
    <w:p w14:paraId="13E6ED9D" w14:textId="77777777" w:rsidR="008924D9" w:rsidRPr="003B6C66" w:rsidRDefault="008924D9" w:rsidP="008924D9">
      <w:pPr>
        <w:jc w:val="both"/>
        <w:rPr>
          <w:rFonts w:eastAsiaTheme="minorEastAsia"/>
          <w:b/>
          <w:bCs/>
          <w:sz w:val="24"/>
          <w:szCs w:val="24"/>
        </w:rPr>
      </w:pPr>
      <w:r w:rsidRPr="003B6C66">
        <w:rPr>
          <w:rFonts w:eastAsiaTheme="minorEastAsia"/>
          <w:b/>
          <w:bCs/>
          <w:sz w:val="24"/>
          <w:szCs w:val="24"/>
        </w:rPr>
        <w:lastRenderedPageBreak/>
        <w:t>Table 3. Estimation by GMM.</w:t>
      </w:r>
    </w:p>
    <w:tbl>
      <w:tblPr>
        <w:tblStyle w:val="Tablanormal1"/>
        <w:tblW w:w="4491" w:type="dxa"/>
        <w:tblLook w:val="04A0" w:firstRow="1" w:lastRow="0" w:firstColumn="1" w:lastColumn="0" w:noHBand="0" w:noVBand="1"/>
      </w:tblPr>
      <w:tblGrid>
        <w:gridCol w:w="3063"/>
        <w:gridCol w:w="1428"/>
      </w:tblGrid>
      <w:tr w:rsidR="0098700E" w:rsidRPr="008A2462" w14:paraId="21CFE0E6" w14:textId="77777777" w:rsidTr="00D45D28">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3063" w:type="dxa"/>
            <w:shd w:val="clear" w:color="auto" w:fill="D9E2F3" w:themeFill="accent1" w:themeFillTint="33"/>
            <w:noWrap/>
            <w:hideMark/>
          </w:tcPr>
          <w:p w14:paraId="7E79FF60" w14:textId="31C50AC0" w:rsidR="0098700E" w:rsidRPr="008A2462" w:rsidRDefault="0098700E" w:rsidP="008A1459">
            <w:pPr>
              <w:rPr>
                <w:rFonts w:ascii="Calibri" w:eastAsia="Times New Roman" w:hAnsi="Calibri" w:cs="Calibri"/>
                <w:color w:val="000000"/>
              </w:rPr>
            </w:pPr>
            <w:r w:rsidRPr="008A2462">
              <w:rPr>
                <w:rFonts w:ascii="Calibri" w:eastAsia="Times New Roman" w:hAnsi="Calibri" w:cs="Calibri"/>
                <w:color w:val="000000"/>
              </w:rPr>
              <w:t xml:space="preserve">Number </w:t>
            </w:r>
            <w:r w:rsidR="00555E26">
              <w:rPr>
                <w:rFonts w:ascii="Calibri" w:eastAsia="Times New Roman" w:hAnsi="Calibri" w:cs="Calibri"/>
                <w:color w:val="000000"/>
              </w:rPr>
              <w:t>of</w:t>
            </w:r>
            <w:r w:rsidRPr="008A2462">
              <w:rPr>
                <w:rFonts w:ascii="Calibri" w:eastAsia="Times New Roman" w:hAnsi="Calibri" w:cs="Calibri"/>
                <w:color w:val="000000"/>
              </w:rPr>
              <w:t xml:space="preserve"> observa</w:t>
            </w:r>
            <w:r w:rsidR="00555E26">
              <w:rPr>
                <w:rFonts w:ascii="Calibri" w:eastAsia="Times New Roman" w:hAnsi="Calibri" w:cs="Calibri"/>
                <w:color w:val="000000"/>
              </w:rPr>
              <w:t>tions</w:t>
            </w:r>
          </w:p>
        </w:tc>
        <w:tc>
          <w:tcPr>
            <w:tcW w:w="1428" w:type="dxa"/>
            <w:shd w:val="clear" w:color="auto" w:fill="FFFFFF" w:themeFill="background1"/>
            <w:noWrap/>
            <w:hideMark/>
          </w:tcPr>
          <w:p w14:paraId="2946F273" w14:textId="77777777" w:rsidR="0098700E" w:rsidRPr="009564DE" w:rsidRDefault="0098700E" w:rsidP="008A145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sidRPr="009564DE">
              <w:rPr>
                <w:rFonts w:ascii="Calibri" w:eastAsia="Times New Roman" w:hAnsi="Calibri" w:cs="Calibri"/>
                <w:b w:val="0"/>
                <w:bCs w:val="0"/>
                <w:color w:val="000000"/>
              </w:rPr>
              <w:t>261</w:t>
            </w:r>
          </w:p>
        </w:tc>
      </w:tr>
      <w:tr w:rsidR="0098700E" w:rsidRPr="008A2462" w14:paraId="4DF2368D" w14:textId="77777777" w:rsidTr="00D45D2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3063" w:type="dxa"/>
            <w:shd w:val="clear" w:color="auto" w:fill="D9E2F3" w:themeFill="accent1" w:themeFillTint="33"/>
            <w:noWrap/>
            <w:hideMark/>
          </w:tcPr>
          <w:p w14:paraId="3EF39718" w14:textId="77777777" w:rsidR="0098700E" w:rsidRPr="008A2462" w:rsidRDefault="0098700E" w:rsidP="008A1459">
            <w:pPr>
              <w:rPr>
                <w:rFonts w:ascii="Calibri" w:eastAsia="Times New Roman" w:hAnsi="Calibri" w:cs="Calibri"/>
                <w:color w:val="000000"/>
              </w:rPr>
            </w:pPr>
            <w:r w:rsidRPr="008A2462">
              <w:rPr>
                <w:rFonts w:ascii="Calibri" w:eastAsia="Times New Roman" w:hAnsi="Calibri" w:cs="Calibri"/>
                <w:color w:val="000000"/>
              </w:rPr>
              <w:t>Wald chi2(11)</w:t>
            </w:r>
          </w:p>
        </w:tc>
        <w:tc>
          <w:tcPr>
            <w:tcW w:w="1428" w:type="dxa"/>
            <w:shd w:val="clear" w:color="auto" w:fill="FFFFFF" w:themeFill="background1"/>
            <w:noWrap/>
            <w:hideMark/>
          </w:tcPr>
          <w:p w14:paraId="21F84EC2" w14:textId="77777777" w:rsidR="0098700E" w:rsidRPr="008A2462" w:rsidRDefault="0098700E" w:rsidP="008A1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A2462">
              <w:rPr>
                <w:rFonts w:ascii="Calibri" w:eastAsia="Times New Roman" w:hAnsi="Calibri" w:cs="Calibri"/>
                <w:color w:val="000000"/>
              </w:rPr>
              <w:t>192.14</w:t>
            </w:r>
          </w:p>
        </w:tc>
      </w:tr>
      <w:tr w:rsidR="0098700E" w:rsidRPr="008A2462" w14:paraId="0EAD9F5A" w14:textId="77777777" w:rsidTr="00D45D28">
        <w:trPr>
          <w:trHeight w:val="316"/>
        </w:trPr>
        <w:tc>
          <w:tcPr>
            <w:cnfStyle w:val="001000000000" w:firstRow="0" w:lastRow="0" w:firstColumn="1" w:lastColumn="0" w:oddVBand="0" w:evenVBand="0" w:oddHBand="0" w:evenHBand="0" w:firstRowFirstColumn="0" w:firstRowLastColumn="0" w:lastRowFirstColumn="0" w:lastRowLastColumn="0"/>
            <w:tcW w:w="3063" w:type="dxa"/>
            <w:shd w:val="clear" w:color="auto" w:fill="D9E2F3" w:themeFill="accent1" w:themeFillTint="33"/>
            <w:noWrap/>
            <w:hideMark/>
          </w:tcPr>
          <w:p w14:paraId="6023A366" w14:textId="77777777" w:rsidR="0098700E" w:rsidRPr="008A2462" w:rsidRDefault="0098700E" w:rsidP="008A1459">
            <w:pPr>
              <w:rPr>
                <w:rFonts w:ascii="Calibri" w:eastAsia="Times New Roman" w:hAnsi="Calibri" w:cs="Calibri"/>
                <w:color w:val="000000"/>
              </w:rPr>
            </w:pPr>
            <w:r w:rsidRPr="008A2462">
              <w:rPr>
                <w:rFonts w:ascii="Calibri" w:eastAsia="Times New Roman" w:hAnsi="Calibri" w:cs="Calibri"/>
                <w:color w:val="000000"/>
              </w:rPr>
              <w:t>Prob &gt; chi2</w:t>
            </w:r>
          </w:p>
        </w:tc>
        <w:tc>
          <w:tcPr>
            <w:tcW w:w="1428" w:type="dxa"/>
            <w:shd w:val="clear" w:color="auto" w:fill="FFFFFF" w:themeFill="background1"/>
            <w:noWrap/>
            <w:hideMark/>
          </w:tcPr>
          <w:p w14:paraId="52407AA3" w14:textId="77777777" w:rsidR="0098700E" w:rsidRPr="008A2462" w:rsidRDefault="0098700E" w:rsidP="008A1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A2462">
              <w:rPr>
                <w:rFonts w:ascii="Calibri" w:eastAsia="Times New Roman" w:hAnsi="Calibri" w:cs="Calibri"/>
                <w:color w:val="000000"/>
              </w:rPr>
              <w:t>0.0000</w:t>
            </w:r>
          </w:p>
        </w:tc>
      </w:tr>
      <w:tr w:rsidR="0098700E" w:rsidRPr="008A2462" w14:paraId="22B879E8" w14:textId="77777777" w:rsidTr="00D45D2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3063" w:type="dxa"/>
            <w:shd w:val="clear" w:color="auto" w:fill="D9E2F3" w:themeFill="accent1" w:themeFillTint="33"/>
            <w:noWrap/>
            <w:hideMark/>
          </w:tcPr>
          <w:p w14:paraId="35C6F4E5" w14:textId="5302F9FD" w:rsidR="0098700E" w:rsidRPr="008A2462" w:rsidRDefault="0098700E" w:rsidP="008A1459">
            <w:pPr>
              <w:rPr>
                <w:rFonts w:ascii="Calibri" w:eastAsia="Times New Roman" w:hAnsi="Calibri" w:cs="Calibri"/>
                <w:color w:val="000000"/>
              </w:rPr>
            </w:pPr>
            <w:r w:rsidRPr="008A2462">
              <w:rPr>
                <w:rFonts w:ascii="Calibri" w:eastAsia="Times New Roman" w:hAnsi="Calibri" w:cs="Calibri"/>
                <w:color w:val="000000"/>
              </w:rPr>
              <w:t>R-</w:t>
            </w:r>
            <w:r w:rsidR="00555E26">
              <w:rPr>
                <w:rFonts w:ascii="Calibri" w:eastAsia="Times New Roman" w:hAnsi="Calibri" w:cs="Calibri"/>
                <w:color w:val="000000"/>
              </w:rPr>
              <w:t>squared</w:t>
            </w:r>
          </w:p>
        </w:tc>
        <w:tc>
          <w:tcPr>
            <w:tcW w:w="1428" w:type="dxa"/>
            <w:shd w:val="clear" w:color="auto" w:fill="FFFFFF" w:themeFill="background1"/>
            <w:noWrap/>
            <w:hideMark/>
          </w:tcPr>
          <w:p w14:paraId="2CADCDAF" w14:textId="77777777" w:rsidR="0098700E" w:rsidRPr="008A2462" w:rsidRDefault="0098700E" w:rsidP="008A1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A2462">
              <w:rPr>
                <w:rFonts w:ascii="Calibri" w:eastAsia="Times New Roman" w:hAnsi="Calibri" w:cs="Calibri"/>
                <w:color w:val="000000"/>
              </w:rPr>
              <w:t>0.3019</w:t>
            </w:r>
          </w:p>
        </w:tc>
      </w:tr>
    </w:tbl>
    <w:p w14:paraId="508BCB8B" w14:textId="78C60C82" w:rsidR="003B43DA" w:rsidRDefault="003B43DA" w:rsidP="003B43DA">
      <w:pPr>
        <w:jc w:val="both"/>
        <w:rPr>
          <w:rFonts w:eastAsiaTheme="minorEastAsia"/>
          <w:b/>
          <w:bCs/>
          <w:sz w:val="24"/>
          <w:szCs w:val="24"/>
          <w:u w:val="single"/>
          <w:lang w:val="es-CL"/>
        </w:rPr>
      </w:pPr>
    </w:p>
    <w:tbl>
      <w:tblPr>
        <w:tblStyle w:val="Tablaconcuadrculaclara"/>
        <w:tblW w:w="9209" w:type="dxa"/>
        <w:tblLook w:val="04A0" w:firstRow="1" w:lastRow="0" w:firstColumn="1" w:lastColumn="0" w:noHBand="0" w:noVBand="1"/>
      </w:tblPr>
      <w:tblGrid>
        <w:gridCol w:w="1557"/>
        <w:gridCol w:w="1416"/>
        <w:gridCol w:w="1648"/>
        <w:gridCol w:w="903"/>
        <w:gridCol w:w="850"/>
        <w:gridCol w:w="1648"/>
        <w:gridCol w:w="1187"/>
      </w:tblGrid>
      <w:tr w:rsidR="00383397" w:rsidRPr="008A2462" w14:paraId="20D930D5" w14:textId="77777777" w:rsidTr="00FF7AA8">
        <w:trPr>
          <w:trHeight w:val="547"/>
        </w:trPr>
        <w:tc>
          <w:tcPr>
            <w:tcW w:w="1557" w:type="dxa"/>
            <w:shd w:val="clear" w:color="auto" w:fill="D9E2F3" w:themeFill="accent1" w:themeFillTint="33"/>
            <w:noWrap/>
            <w:hideMark/>
          </w:tcPr>
          <w:p w14:paraId="42F271E3" w14:textId="07F12AF8" w:rsidR="009564DE" w:rsidRPr="008E7809" w:rsidRDefault="009564DE" w:rsidP="009564DE">
            <w:pPr>
              <w:jc w:val="center"/>
              <w:rPr>
                <w:rFonts w:ascii="Calibri" w:eastAsia="Times New Roman" w:hAnsi="Calibri" w:cs="Calibri"/>
                <w:b/>
                <w:bCs/>
                <w:color w:val="000000"/>
              </w:rPr>
            </w:pPr>
            <w:r w:rsidRPr="008E7809">
              <w:rPr>
                <w:rFonts w:ascii="Calibri" w:eastAsia="Times New Roman" w:hAnsi="Calibri" w:cs="Calibri"/>
                <w:b/>
                <w:bCs/>
                <w:color w:val="000000"/>
              </w:rPr>
              <w:t>Chile</w:t>
            </w:r>
            <w:r w:rsidR="00354B2B">
              <w:rPr>
                <w:rFonts w:ascii="Calibri" w:eastAsia="Times New Roman" w:hAnsi="Calibri" w:cs="Calibri"/>
                <w:b/>
                <w:bCs/>
                <w:color w:val="000000"/>
              </w:rPr>
              <w:t xml:space="preserve"> </w:t>
            </w:r>
            <w:r w:rsidR="00354B2B" w:rsidRPr="008E7809">
              <w:rPr>
                <w:rFonts w:ascii="Calibri" w:eastAsia="Times New Roman" w:hAnsi="Calibri" w:cs="Calibri"/>
                <w:b/>
                <w:bCs/>
                <w:color w:val="000000"/>
              </w:rPr>
              <w:t>Inf.</w:t>
            </w:r>
          </w:p>
        </w:tc>
        <w:tc>
          <w:tcPr>
            <w:tcW w:w="1416" w:type="dxa"/>
            <w:shd w:val="clear" w:color="auto" w:fill="D9E2F3" w:themeFill="accent1" w:themeFillTint="33"/>
            <w:noWrap/>
            <w:hideMark/>
          </w:tcPr>
          <w:p w14:paraId="6A07F51E" w14:textId="53F4157E" w:rsidR="009564DE" w:rsidRPr="008E7809" w:rsidRDefault="009564DE" w:rsidP="009564DE">
            <w:pPr>
              <w:jc w:val="center"/>
              <w:rPr>
                <w:rFonts w:ascii="Calibri" w:eastAsia="Times New Roman" w:hAnsi="Calibri" w:cs="Calibri"/>
                <w:b/>
                <w:bCs/>
                <w:color w:val="000000"/>
              </w:rPr>
            </w:pPr>
            <w:r w:rsidRPr="008E7809">
              <w:rPr>
                <w:rFonts w:ascii="Calibri" w:eastAsia="Times New Roman" w:hAnsi="Calibri" w:cs="Calibri"/>
                <w:b/>
                <w:bCs/>
                <w:color w:val="000000"/>
              </w:rPr>
              <w:t>Coef</w:t>
            </w:r>
            <w:r w:rsidR="001D720D">
              <w:rPr>
                <w:rFonts w:ascii="Calibri" w:eastAsia="Times New Roman" w:hAnsi="Calibri" w:cs="Calibri"/>
                <w:b/>
                <w:bCs/>
                <w:color w:val="000000"/>
              </w:rPr>
              <w:t>f</w:t>
            </w:r>
            <w:r w:rsidRPr="008E7809">
              <w:rPr>
                <w:rFonts w:ascii="Calibri" w:eastAsia="Times New Roman" w:hAnsi="Calibri" w:cs="Calibri"/>
                <w:b/>
                <w:bCs/>
                <w:color w:val="000000"/>
              </w:rPr>
              <w:t>icient</w:t>
            </w:r>
          </w:p>
        </w:tc>
        <w:tc>
          <w:tcPr>
            <w:tcW w:w="1648" w:type="dxa"/>
            <w:shd w:val="clear" w:color="auto" w:fill="D9E2F3" w:themeFill="accent1" w:themeFillTint="33"/>
            <w:hideMark/>
          </w:tcPr>
          <w:p w14:paraId="7F5DFCA6" w14:textId="77777777" w:rsidR="00C41D45" w:rsidRPr="00C41D45" w:rsidRDefault="00C41D45" w:rsidP="00C41D45">
            <w:pPr>
              <w:jc w:val="center"/>
              <w:rPr>
                <w:rFonts w:ascii="Calibri" w:eastAsia="Times New Roman" w:hAnsi="Calibri" w:cs="Calibri"/>
                <w:b/>
                <w:bCs/>
                <w:color w:val="000000"/>
              </w:rPr>
            </w:pPr>
            <w:r w:rsidRPr="00C41D45">
              <w:rPr>
                <w:rFonts w:ascii="Calibri" w:eastAsia="Times New Roman" w:hAnsi="Calibri" w:cs="Calibri"/>
                <w:b/>
                <w:bCs/>
                <w:color w:val="000000"/>
              </w:rPr>
              <w:t>Robust</w:t>
            </w:r>
          </w:p>
          <w:p w14:paraId="4E537011" w14:textId="53B261DE" w:rsidR="009564DE" w:rsidRPr="008E7809" w:rsidRDefault="00C41D45" w:rsidP="00C41D45">
            <w:pPr>
              <w:jc w:val="center"/>
              <w:rPr>
                <w:rFonts w:ascii="Calibri" w:eastAsia="Times New Roman" w:hAnsi="Calibri" w:cs="Calibri"/>
                <w:b/>
                <w:bCs/>
                <w:color w:val="000000"/>
              </w:rPr>
            </w:pPr>
            <w:r w:rsidRPr="00C41D45">
              <w:rPr>
                <w:rFonts w:ascii="Calibri" w:eastAsia="Times New Roman" w:hAnsi="Calibri" w:cs="Calibri"/>
                <w:b/>
                <w:bCs/>
                <w:color w:val="000000"/>
              </w:rPr>
              <w:t xml:space="preserve"> Std. Err.</w:t>
            </w:r>
          </w:p>
        </w:tc>
        <w:tc>
          <w:tcPr>
            <w:tcW w:w="903" w:type="dxa"/>
            <w:shd w:val="clear" w:color="auto" w:fill="D9E2F3" w:themeFill="accent1" w:themeFillTint="33"/>
            <w:noWrap/>
            <w:hideMark/>
          </w:tcPr>
          <w:p w14:paraId="71FF12CA" w14:textId="75A07003" w:rsidR="009564DE" w:rsidRPr="008E7809" w:rsidRDefault="00270E8B" w:rsidP="009564DE">
            <w:pPr>
              <w:jc w:val="center"/>
              <w:rPr>
                <w:rFonts w:ascii="Calibri" w:eastAsia="Times New Roman" w:hAnsi="Calibri" w:cs="Calibri"/>
                <w:b/>
                <w:bCs/>
                <w:color w:val="000000"/>
              </w:rPr>
            </w:pPr>
            <w:r>
              <w:rPr>
                <w:rFonts w:ascii="Calibri" w:eastAsia="Times New Roman" w:hAnsi="Calibri" w:cs="Calibri"/>
                <w:b/>
                <w:bCs/>
                <w:color w:val="000000"/>
              </w:rPr>
              <w:t>z</w:t>
            </w:r>
          </w:p>
        </w:tc>
        <w:tc>
          <w:tcPr>
            <w:tcW w:w="850" w:type="dxa"/>
            <w:shd w:val="clear" w:color="auto" w:fill="D9E2F3" w:themeFill="accent1" w:themeFillTint="33"/>
            <w:noWrap/>
            <w:hideMark/>
          </w:tcPr>
          <w:p w14:paraId="6180CEAF" w14:textId="49B23D11" w:rsidR="009564DE" w:rsidRPr="008E7809" w:rsidRDefault="009564DE" w:rsidP="009564DE">
            <w:pPr>
              <w:jc w:val="center"/>
              <w:rPr>
                <w:rFonts w:ascii="Calibri" w:eastAsia="Times New Roman" w:hAnsi="Calibri" w:cs="Calibri"/>
                <w:b/>
                <w:bCs/>
                <w:color w:val="000000"/>
              </w:rPr>
            </w:pPr>
            <w:r w:rsidRPr="008E7809">
              <w:rPr>
                <w:rFonts w:ascii="Calibri" w:eastAsia="Times New Roman" w:hAnsi="Calibri" w:cs="Calibri"/>
                <w:b/>
                <w:bCs/>
                <w:color w:val="000000"/>
              </w:rPr>
              <w:t>p&gt;|</w:t>
            </w:r>
            <w:r w:rsidR="00270E8B">
              <w:rPr>
                <w:rFonts w:ascii="Calibri" w:eastAsia="Times New Roman" w:hAnsi="Calibri" w:cs="Calibri"/>
                <w:b/>
                <w:bCs/>
                <w:color w:val="000000"/>
              </w:rPr>
              <w:t>z</w:t>
            </w:r>
            <w:r w:rsidRPr="008E7809">
              <w:rPr>
                <w:rFonts w:ascii="Calibri" w:eastAsia="Times New Roman" w:hAnsi="Calibri" w:cs="Calibri"/>
                <w:b/>
                <w:bCs/>
                <w:color w:val="000000"/>
              </w:rPr>
              <w:t>|</w:t>
            </w:r>
          </w:p>
        </w:tc>
        <w:tc>
          <w:tcPr>
            <w:tcW w:w="2835" w:type="dxa"/>
            <w:gridSpan w:val="2"/>
            <w:shd w:val="clear" w:color="auto" w:fill="D9E2F3" w:themeFill="accent1" w:themeFillTint="33"/>
            <w:hideMark/>
          </w:tcPr>
          <w:p w14:paraId="258600CB" w14:textId="15FC0CA4" w:rsidR="009564DE" w:rsidRPr="008E7809" w:rsidRDefault="00C41D45" w:rsidP="009564DE">
            <w:pPr>
              <w:jc w:val="center"/>
              <w:rPr>
                <w:rFonts w:ascii="Calibri" w:eastAsia="Times New Roman" w:hAnsi="Calibri" w:cs="Calibri"/>
                <w:b/>
                <w:bCs/>
                <w:color w:val="000000"/>
              </w:rPr>
            </w:pPr>
            <w:r w:rsidRPr="00C41D45">
              <w:rPr>
                <w:rFonts w:ascii="Calibri" w:eastAsia="Times New Roman" w:hAnsi="Calibri" w:cs="Calibri"/>
                <w:b/>
                <w:bCs/>
                <w:color w:val="000000"/>
              </w:rPr>
              <w:t>Confidence Interval</w:t>
            </w:r>
            <w:r w:rsidRPr="008E7809">
              <w:rPr>
                <w:rFonts w:ascii="Calibri" w:eastAsia="Times New Roman" w:hAnsi="Calibri" w:cs="Calibri"/>
                <w:b/>
                <w:bCs/>
                <w:color w:val="000000"/>
              </w:rPr>
              <w:t xml:space="preserve"> </w:t>
            </w:r>
            <w:r w:rsidR="009564DE" w:rsidRPr="008E7809">
              <w:rPr>
                <w:rFonts w:ascii="Calibri" w:eastAsia="Times New Roman" w:hAnsi="Calibri" w:cs="Calibri"/>
                <w:b/>
                <w:bCs/>
                <w:color w:val="000000"/>
              </w:rPr>
              <w:t>(95%)</w:t>
            </w:r>
          </w:p>
        </w:tc>
      </w:tr>
      <w:tr w:rsidR="00383397" w:rsidRPr="008A2462" w14:paraId="680771D6" w14:textId="77777777" w:rsidTr="00FF7AA8">
        <w:trPr>
          <w:trHeight w:val="277"/>
        </w:trPr>
        <w:tc>
          <w:tcPr>
            <w:tcW w:w="1557" w:type="dxa"/>
            <w:noWrap/>
            <w:hideMark/>
          </w:tcPr>
          <w:p w14:paraId="473320FD" w14:textId="12815B1A" w:rsidR="00383397" w:rsidRPr="001D720D" w:rsidRDefault="001D720D" w:rsidP="00383397">
            <w:pPr>
              <w:rPr>
                <w:rFonts w:ascii="Calibri" w:eastAsia="Times New Roman" w:hAnsi="Calibri" w:cs="Calibri"/>
                <w:color w:val="000000"/>
              </w:rPr>
            </w:pPr>
            <m:oMathPara>
              <m:oMathParaPr>
                <m:jc m:val="left"/>
              </m:oMathParaPr>
              <m:oMath>
                <m:r>
                  <w:rPr>
                    <w:rFonts w:ascii="Cambria Math" w:eastAsia="Times New Roman" w:hAnsi="Cambria Math" w:cs="Calibri"/>
                    <w:color w:val="000000"/>
                  </w:rPr>
                  <m:t>∆E</m:t>
                </m:r>
              </m:oMath>
            </m:oMathPara>
          </w:p>
        </w:tc>
        <w:tc>
          <w:tcPr>
            <w:tcW w:w="1416" w:type="dxa"/>
            <w:noWrap/>
            <w:hideMark/>
          </w:tcPr>
          <w:p w14:paraId="0F8559F0" w14:textId="2B986976"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0.1046</w:t>
            </w:r>
          </w:p>
        </w:tc>
        <w:tc>
          <w:tcPr>
            <w:tcW w:w="1648" w:type="dxa"/>
            <w:noWrap/>
            <w:hideMark/>
          </w:tcPr>
          <w:p w14:paraId="09D7FF5E" w14:textId="12F55D92"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0.0296</w:t>
            </w:r>
          </w:p>
        </w:tc>
        <w:tc>
          <w:tcPr>
            <w:tcW w:w="903" w:type="dxa"/>
            <w:noWrap/>
            <w:hideMark/>
          </w:tcPr>
          <w:p w14:paraId="3E6C6EF3" w14:textId="0350AA21"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3.54</w:t>
            </w:r>
          </w:p>
        </w:tc>
        <w:tc>
          <w:tcPr>
            <w:tcW w:w="850" w:type="dxa"/>
            <w:noWrap/>
            <w:hideMark/>
          </w:tcPr>
          <w:p w14:paraId="60E923C9" w14:textId="0E1F036C"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w:t>
            </w:r>
          </w:p>
        </w:tc>
        <w:tc>
          <w:tcPr>
            <w:tcW w:w="1648" w:type="dxa"/>
            <w:noWrap/>
            <w:hideMark/>
          </w:tcPr>
          <w:p w14:paraId="6B0EC91B" w14:textId="79F5C7EE"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0.0466</w:t>
            </w:r>
          </w:p>
        </w:tc>
        <w:tc>
          <w:tcPr>
            <w:tcW w:w="1187" w:type="dxa"/>
            <w:noWrap/>
            <w:hideMark/>
          </w:tcPr>
          <w:p w14:paraId="31461103" w14:textId="60599617"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0.1626</w:t>
            </w:r>
          </w:p>
        </w:tc>
      </w:tr>
      <w:tr w:rsidR="00383397" w:rsidRPr="008A2462" w14:paraId="5695AC20" w14:textId="77777777" w:rsidTr="00FF7AA8">
        <w:trPr>
          <w:trHeight w:val="277"/>
        </w:trPr>
        <w:tc>
          <w:tcPr>
            <w:tcW w:w="1557" w:type="dxa"/>
            <w:noWrap/>
            <w:hideMark/>
          </w:tcPr>
          <w:p w14:paraId="00A6FF1B" w14:textId="0A962452" w:rsidR="00383397" w:rsidRPr="008A2462" w:rsidRDefault="00383397" w:rsidP="00383397">
            <w:pPr>
              <w:rPr>
                <w:rFonts w:ascii="Calibri" w:eastAsia="Times New Roman" w:hAnsi="Calibri" w:cs="Calibri"/>
                <w:color w:val="000000"/>
              </w:rPr>
            </w:pPr>
            <w:r w:rsidRPr="008A2462">
              <w:rPr>
                <w:rFonts w:ascii="Calibri" w:eastAsia="Times New Roman" w:hAnsi="Calibri" w:cs="Calibri"/>
                <w:color w:val="000000"/>
              </w:rPr>
              <w:t>US</w:t>
            </w:r>
            <w:r w:rsidR="00D73B4C">
              <w:rPr>
                <w:rFonts w:ascii="Calibri" w:eastAsia="Times New Roman" w:hAnsi="Calibri" w:cs="Calibri"/>
                <w:color w:val="000000"/>
              </w:rPr>
              <w:t xml:space="preserve"> </w:t>
            </w:r>
            <w:r w:rsidR="00D73B4C" w:rsidRPr="008A2462">
              <w:rPr>
                <w:rFonts w:ascii="Calibri" w:eastAsia="Times New Roman" w:hAnsi="Calibri" w:cs="Calibri"/>
                <w:color w:val="000000"/>
              </w:rPr>
              <w:t>I</w:t>
            </w:r>
            <w:r w:rsidR="00D73B4C">
              <w:rPr>
                <w:rFonts w:ascii="Calibri" w:eastAsia="Times New Roman" w:hAnsi="Calibri" w:cs="Calibri"/>
                <w:color w:val="000000"/>
              </w:rPr>
              <w:t>nf</w:t>
            </w:r>
            <w:r w:rsidR="00D73B4C" w:rsidRPr="008A2462">
              <w:rPr>
                <w:rFonts w:ascii="Calibri" w:eastAsia="Times New Roman" w:hAnsi="Calibri" w:cs="Calibri"/>
                <w:color w:val="000000"/>
              </w:rPr>
              <w:t>.</w:t>
            </w:r>
          </w:p>
        </w:tc>
        <w:tc>
          <w:tcPr>
            <w:tcW w:w="1416" w:type="dxa"/>
            <w:noWrap/>
            <w:hideMark/>
          </w:tcPr>
          <w:p w14:paraId="2195528D" w14:textId="14281A9E"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0.5157</w:t>
            </w:r>
          </w:p>
        </w:tc>
        <w:tc>
          <w:tcPr>
            <w:tcW w:w="1648" w:type="dxa"/>
            <w:noWrap/>
            <w:hideMark/>
          </w:tcPr>
          <w:p w14:paraId="788CB759" w14:textId="33030529"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0.0684</w:t>
            </w:r>
          </w:p>
        </w:tc>
        <w:tc>
          <w:tcPr>
            <w:tcW w:w="903" w:type="dxa"/>
            <w:noWrap/>
            <w:hideMark/>
          </w:tcPr>
          <w:p w14:paraId="4962CBA7" w14:textId="42947658"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7.54</w:t>
            </w:r>
          </w:p>
        </w:tc>
        <w:tc>
          <w:tcPr>
            <w:tcW w:w="850" w:type="dxa"/>
            <w:noWrap/>
            <w:hideMark/>
          </w:tcPr>
          <w:p w14:paraId="6E2BA0B4" w14:textId="3CD69FAC"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w:t>
            </w:r>
          </w:p>
        </w:tc>
        <w:tc>
          <w:tcPr>
            <w:tcW w:w="1648" w:type="dxa"/>
            <w:noWrap/>
            <w:hideMark/>
          </w:tcPr>
          <w:p w14:paraId="1AC10DD5" w14:textId="0DB5CE18"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0.3816</w:t>
            </w:r>
          </w:p>
        </w:tc>
        <w:tc>
          <w:tcPr>
            <w:tcW w:w="1187" w:type="dxa"/>
            <w:noWrap/>
            <w:hideMark/>
          </w:tcPr>
          <w:p w14:paraId="7B3C6257" w14:textId="0A87050E"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0.6497</w:t>
            </w:r>
          </w:p>
        </w:tc>
      </w:tr>
      <w:tr w:rsidR="00383397" w:rsidRPr="008A2462" w14:paraId="4EBB6F03" w14:textId="77777777" w:rsidTr="00FF7AA8">
        <w:trPr>
          <w:trHeight w:val="277"/>
        </w:trPr>
        <w:tc>
          <w:tcPr>
            <w:tcW w:w="1557" w:type="dxa"/>
            <w:noWrap/>
            <w:hideMark/>
          </w:tcPr>
          <w:p w14:paraId="46F91FAA" w14:textId="4457F03B" w:rsidR="00383397" w:rsidRPr="008A2462" w:rsidRDefault="00383397" w:rsidP="00383397">
            <w:pPr>
              <w:rPr>
                <w:rFonts w:ascii="Calibri" w:eastAsia="Times New Roman" w:hAnsi="Calibri" w:cs="Calibri"/>
                <w:color w:val="000000"/>
              </w:rPr>
            </w:pPr>
            <w:r w:rsidRPr="008A2462">
              <w:rPr>
                <w:rFonts w:ascii="Calibri" w:eastAsia="Times New Roman" w:hAnsi="Calibri" w:cs="Calibri"/>
                <w:color w:val="000000"/>
              </w:rPr>
              <w:t>C</w:t>
            </w:r>
            <w:r>
              <w:rPr>
                <w:rFonts w:ascii="Calibri" w:eastAsia="Times New Roman" w:hAnsi="Calibri" w:cs="Calibri"/>
                <w:color w:val="000000"/>
              </w:rPr>
              <w:t>hina</w:t>
            </w:r>
            <w:r w:rsidR="001D720D">
              <w:rPr>
                <w:rFonts w:ascii="Calibri" w:eastAsia="Times New Roman" w:hAnsi="Calibri" w:cs="Calibri"/>
                <w:color w:val="000000"/>
              </w:rPr>
              <w:t xml:space="preserve"> </w:t>
            </w:r>
            <w:r w:rsidR="001D720D" w:rsidRPr="008A2462">
              <w:rPr>
                <w:rFonts w:ascii="Calibri" w:eastAsia="Times New Roman" w:hAnsi="Calibri" w:cs="Calibri"/>
                <w:color w:val="000000"/>
              </w:rPr>
              <w:t>I</w:t>
            </w:r>
            <w:r w:rsidR="001D720D">
              <w:rPr>
                <w:rFonts w:ascii="Calibri" w:eastAsia="Times New Roman" w:hAnsi="Calibri" w:cs="Calibri"/>
                <w:color w:val="000000"/>
              </w:rPr>
              <w:t>nf</w:t>
            </w:r>
            <w:r w:rsidR="001D720D" w:rsidRPr="008A2462">
              <w:rPr>
                <w:rFonts w:ascii="Calibri" w:eastAsia="Times New Roman" w:hAnsi="Calibri" w:cs="Calibri"/>
                <w:color w:val="000000"/>
              </w:rPr>
              <w:t>.</w:t>
            </w:r>
          </w:p>
        </w:tc>
        <w:tc>
          <w:tcPr>
            <w:tcW w:w="1416" w:type="dxa"/>
            <w:noWrap/>
            <w:hideMark/>
          </w:tcPr>
          <w:p w14:paraId="5E40A701" w14:textId="4F928E14"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0.0550</w:t>
            </w:r>
          </w:p>
        </w:tc>
        <w:tc>
          <w:tcPr>
            <w:tcW w:w="1648" w:type="dxa"/>
            <w:noWrap/>
            <w:hideMark/>
          </w:tcPr>
          <w:p w14:paraId="7153C0EE" w14:textId="6A4EE0B3"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0.0374</w:t>
            </w:r>
          </w:p>
        </w:tc>
        <w:tc>
          <w:tcPr>
            <w:tcW w:w="903" w:type="dxa"/>
            <w:noWrap/>
            <w:hideMark/>
          </w:tcPr>
          <w:p w14:paraId="351D560F" w14:textId="3480B7DE"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1.47</w:t>
            </w:r>
          </w:p>
        </w:tc>
        <w:tc>
          <w:tcPr>
            <w:tcW w:w="850" w:type="dxa"/>
            <w:noWrap/>
            <w:hideMark/>
          </w:tcPr>
          <w:p w14:paraId="417B50FF" w14:textId="19434755"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0.142</w:t>
            </w:r>
          </w:p>
        </w:tc>
        <w:tc>
          <w:tcPr>
            <w:tcW w:w="1648" w:type="dxa"/>
            <w:noWrap/>
            <w:hideMark/>
          </w:tcPr>
          <w:p w14:paraId="32DF0E6B" w14:textId="33C8A8A5"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-0.0184</w:t>
            </w:r>
          </w:p>
        </w:tc>
        <w:tc>
          <w:tcPr>
            <w:tcW w:w="1187" w:type="dxa"/>
            <w:noWrap/>
            <w:hideMark/>
          </w:tcPr>
          <w:p w14:paraId="3238F929" w14:textId="309E94AC"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0.1283</w:t>
            </w:r>
          </w:p>
        </w:tc>
      </w:tr>
      <w:tr w:rsidR="00383397" w:rsidRPr="008A2462" w14:paraId="23B857A3" w14:textId="77777777" w:rsidTr="00FF7AA8">
        <w:trPr>
          <w:trHeight w:val="277"/>
        </w:trPr>
        <w:tc>
          <w:tcPr>
            <w:tcW w:w="1557" w:type="dxa"/>
            <w:noWrap/>
            <w:hideMark/>
          </w:tcPr>
          <w:p w14:paraId="079EAD1F" w14:textId="21D81F3E" w:rsidR="00383397" w:rsidRPr="008A2462" w:rsidRDefault="001D720D" w:rsidP="00383397">
            <w:pPr>
              <w:rPr>
                <w:rFonts w:ascii="Calibri" w:eastAsia="Times New Roman" w:hAnsi="Calibri" w:cs="Calibri"/>
                <w:color w:val="000000"/>
              </w:rPr>
            </w:pPr>
            <w:r>
              <w:rPr>
                <w:rFonts w:ascii="Calibri" w:eastAsia="Times New Roman" w:hAnsi="Calibri" w:cs="Calibri"/>
                <w:color w:val="000000"/>
              </w:rPr>
              <w:t>E</w:t>
            </w:r>
            <w:r w:rsidR="00383397">
              <w:rPr>
                <w:rFonts w:ascii="Calibri" w:eastAsia="Times New Roman" w:hAnsi="Calibri" w:cs="Calibri"/>
                <w:color w:val="000000"/>
              </w:rPr>
              <w:t>urozon</w:t>
            </w:r>
            <w:r>
              <w:rPr>
                <w:rFonts w:ascii="Calibri" w:eastAsia="Times New Roman" w:hAnsi="Calibri" w:cs="Calibri"/>
                <w:color w:val="000000"/>
              </w:rPr>
              <w:t xml:space="preserve">e </w:t>
            </w:r>
            <w:r w:rsidRPr="008A2462">
              <w:rPr>
                <w:rFonts w:ascii="Calibri" w:eastAsia="Times New Roman" w:hAnsi="Calibri" w:cs="Calibri"/>
                <w:color w:val="000000"/>
              </w:rPr>
              <w:t>I</w:t>
            </w:r>
            <w:r>
              <w:rPr>
                <w:rFonts w:ascii="Calibri" w:eastAsia="Times New Roman" w:hAnsi="Calibri" w:cs="Calibri"/>
                <w:color w:val="000000"/>
              </w:rPr>
              <w:t>nf</w:t>
            </w:r>
            <w:r w:rsidRPr="008A2462">
              <w:rPr>
                <w:rFonts w:ascii="Calibri" w:eastAsia="Times New Roman" w:hAnsi="Calibri" w:cs="Calibri"/>
                <w:color w:val="000000"/>
              </w:rPr>
              <w:t>.</w:t>
            </w:r>
          </w:p>
        </w:tc>
        <w:tc>
          <w:tcPr>
            <w:tcW w:w="1416" w:type="dxa"/>
            <w:noWrap/>
            <w:hideMark/>
          </w:tcPr>
          <w:p w14:paraId="6D64285E" w14:textId="6059CDCE"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0.0345</w:t>
            </w:r>
          </w:p>
        </w:tc>
        <w:tc>
          <w:tcPr>
            <w:tcW w:w="1648" w:type="dxa"/>
            <w:noWrap/>
            <w:hideMark/>
          </w:tcPr>
          <w:p w14:paraId="366DA180" w14:textId="5F1675CB"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0.0477</w:t>
            </w:r>
          </w:p>
        </w:tc>
        <w:tc>
          <w:tcPr>
            <w:tcW w:w="903" w:type="dxa"/>
            <w:noWrap/>
            <w:hideMark/>
          </w:tcPr>
          <w:p w14:paraId="26D96F03" w14:textId="6DCBBDC8"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0.72</w:t>
            </w:r>
          </w:p>
        </w:tc>
        <w:tc>
          <w:tcPr>
            <w:tcW w:w="850" w:type="dxa"/>
            <w:noWrap/>
            <w:hideMark/>
          </w:tcPr>
          <w:p w14:paraId="7E8492D0" w14:textId="7D1A46AA"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0.47</w:t>
            </w:r>
          </w:p>
        </w:tc>
        <w:tc>
          <w:tcPr>
            <w:tcW w:w="1648" w:type="dxa"/>
            <w:noWrap/>
            <w:hideMark/>
          </w:tcPr>
          <w:p w14:paraId="3F0135C4" w14:textId="086AAEF1"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-0.0590</w:t>
            </w:r>
          </w:p>
        </w:tc>
        <w:tc>
          <w:tcPr>
            <w:tcW w:w="1187" w:type="dxa"/>
            <w:noWrap/>
            <w:hideMark/>
          </w:tcPr>
          <w:p w14:paraId="2C7871F4" w14:textId="6B13E8B2"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0.1280</w:t>
            </w:r>
          </w:p>
        </w:tc>
      </w:tr>
      <w:tr w:rsidR="00FA2E3E" w:rsidRPr="008A2462" w14:paraId="0CFFD11D" w14:textId="77777777" w:rsidTr="00FF7AA8">
        <w:trPr>
          <w:trHeight w:val="277"/>
        </w:trPr>
        <w:tc>
          <w:tcPr>
            <w:tcW w:w="1557" w:type="dxa"/>
            <w:noWrap/>
            <w:hideMark/>
          </w:tcPr>
          <w:p w14:paraId="7206D251" w14:textId="669B4CBD" w:rsidR="00FA2E3E" w:rsidRPr="00FA2E3E" w:rsidRDefault="0062217F" w:rsidP="00FA2E3E">
            <w:pPr>
              <w:rPr>
                <w:rFonts w:ascii="Calibri" w:eastAsia="Times New Roman" w:hAnsi="Calibri" w:cs="Calibri"/>
                <w:color w:val="000000"/>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1</m:t>
                    </m:r>
                  </m:sub>
                </m:sSub>
              </m:oMath>
            </m:oMathPara>
          </w:p>
        </w:tc>
        <w:tc>
          <w:tcPr>
            <w:tcW w:w="1416" w:type="dxa"/>
            <w:noWrap/>
            <w:hideMark/>
          </w:tcPr>
          <w:p w14:paraId="0ABF5FEB" w14:textId="3684D75D"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-0.0008</w:t>
            </w:r>
          </w:p>
        </w:tc>
        <w:tc>
          <w:tcPr>
            <w:tcW w:w="1648" w:type="dxa"/>
            <w:noWrap/>
            <w:hideMark/>
          </w:tcPr>
          <w:p w14:paraId="6ACF82D3" w14:textId="39169047"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0.0014</w:t>
            </w:r>
          </w:p>
        </w:tc>
        <w:tc>
          <w:tcPr>
            <w:tcW w:w="903" w:type="dxa"/>
            <w:noWrap/>
            <w:hideMark/>
          </w:tcPr>
          <w:p w14:paraId="35DACB4B" w14:textId="5AD24B0E"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-0.58</w:t>
            </w:r>
          </w:p>
        </w:tc>
        <w:tc>
          <w:tcPr>
            <w:tcW w:w="850" w:type="dxa"/>
            <w:noWrap/>
            <w:hideMark/>
          </w:tcPr>
          <w:p w14:paraId="25B5D2CA" w14:textId="309279E7"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0.563</w:t>
            </w:r>
          </w:p>
        </w:tc>
        <w:tc>
          <w:tcPr>
            <w:tcW w:w="1648" w:type="dxa"/>
            <w:noWrap/>
            <w:hideMark/>
          </w:tcPr>
          <w:p w14:paraId="4B64615B" w14:textId="14A75D4E"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-0.0035</w:t>
            </w:r>
          </w:p>
        </w:tc>
        <w:tc>
          <w:tcPr>
            <w:tcW w:w="1187" w:type="dxa"/>
            <w:noWrap/>
            <w:hideMark/>
          </w:tcPr>
          <w:p w14:paraId="64F7AEF5" w14:textId="3F62CFDA"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0.0019</w:t>
            </w:r>
          </w:p>
        </w:tc>
      </w:tr>
      <w:tr w:rsidR="00FA2E3E" w:rsidRPr="008A2462" w14:paraId="441FC3E3" w14:textId="77777777" w:rsidTr="00FF7AA8">
        <w:trPr>
          <w:trHeight w:val="277"/>
        </w:trPr>
        <w:tc>
          <w:tcPr>
            <w:tcW w:w="1557" w:type="dxa"/>
            <w:noWrap/>
            <w:hideMark/>
          </w:tcPr>
          <w:p w14:paraId="4D05EC6C" w14:textId="0154206B" w:rsidR="00FA2E3E" w:rsidRPr="00FA2E3E" w:rsidRDefault="0062217F" w:rsidP="00FA2E3E">
            <w:pPr>
              <w:rPr>
                <w:rFonts w:ascii="Calibri" w:eastAsia="Times New Roman" w:hAnsi="Calibri" w:cs="Calibri"/>
                <w:color w:val="000000"/>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2</m:t>
                    </m:r>
                  </m:sub>
                </m:sSub>
              </m:oMath>
            </m:oMathPara>
          </w:p>
        </w:tc>
        <w:tc>
          <w:tcPr>
            <w:tcW w:w="1416" w:type="dxa"/>
            <w:noWrap/>
            <w:hideMark/>
          </w:tcPr>
          <w:p w14:paraId="774BCF7C" w14:textId="62899C4A"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-0.0011</w:t>
            </w:r>
          </w:p>
        </w:tc>
        <w:tc>
          <w:tcPr>
            <w:tcW w:w="1648" w:type="dxa"/>
            <w:noWrap/>
            <w:hideMark/>
          </w:tcPr>
          <w:p w14:paraId="3263C999" w14:textId="5AF17408"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0.0017</w:t>
            </w:r>
          </w:p>
        </w:tc>
        <w:tc>
          <w:tcPr>
            <w:tcW w:w="903" w:type="dxa"/>
            <w:noWrap/>
            <w:hideMark/>
          </w:tcPr>
          <w:p w14:paraId="3939CEAB" w14:textId="3EDBB7AD"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-0.62</w:t>
            </w:r>
          </w:p>
        </w:tc>
        <w:tc>
          <w:tcPr>
            <w:tcW w:w="850" w:type="dxa"/>
            <w:noWrap/>
            <w:hideMark/>
          </w:tcPr>
          <w:p w14:paraId="79BA5906" w14:textId="510B67F5"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0.537</w:t>
            </w:r>
          </w:p>
        </w:tc>
        <w:tc>
          <w:tcPr>
            <w:tcW w:w="1648" w:type="dxa"/>
            <w:noWrap/>
            <w:hideMark/>
          </w:tcPr>
          <w:p w14:paraId="7CF63263" w14:textId="3DCC9C4C"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-0.0044</w:t>
            </w:r>
          </w:p>
        </w:tc>
        <w:tc>
          <w:tcPr>
            <w:tcW w:w="1187" w:type="dxa"/>
            <w:noWrap/>
            <w:hideMark/>
          </w:tcPr>
          <w:p w14:paraId="0BF7FFDF" w14:textId="02A4CB49"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0.0023</w:t>
            </w:r>
          </w:p>
        </w:tc>
      </w:tr>
      <w:tr w:rsidR="00FA2E3E" w:rsidRPr="008A2462" w14:paraId="60E37959" w14:textId="77777777" w:rsidTr="00FF7AA8">
        <w:trPr>
          <w:trHeight w:val="277"/>
        </w:trPr>
        <w:tc>
          <w:tcPr>
            <w:tcW w:w="1557" w:type="dxa"/>
            <w:noWrap/>
            <w:hideMark/>
          </w:tcPr>
          <w:p w14:paraId="11AAA5F2" w14:textId="3C84B202" w:rsidR="00FA2E3E" w:rsidRPr="00FA2E3E" w:rsidRDefault="0062217F" w:rsidP="00FA2E3E">
            <w:pPr>
              <w:rPr>
                <w:rFonts w:ascii="Calibri" w:eastAsia="Times New Roman" w:hAnsi="Calibri" w:cs="Calibri"/>
                <w:color w:val="000000"/>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3</m:t>
                    </m:r>
                  </m:sub>
                </m:sSub>
              </m:oMath>
            </m:oMathPara>
          </w:p>
        </w:tc>
        <w:tc>
          <w:tcPr>
            <w:tcW w:w="1416" w:type="dxa"/>
            <w:noWrap/>
            <w:hideMark/>
          </w:tcPr>
          <w:p w14:paraId="5AACFD85" w14:textId="250A3BA9"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0.0006</w:t>
            </w:r>
          </w:p>
        </w:tc>
        <w:tc>
          <w:tcPr>
            <w:tcW w:w="1648" w:type="dxa"/>
            <w:noWrap/>
            <w:hideMark/>
          </w:tcPr>
          <w:p w14:paraId="3986B188" w14:textId="482B1729"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0.0010</w:t>
            </w:r>
          </w:p>
        </w:tc>
        <w:tc>
          <w:tcPr>
            <w:tcW w:w="903" w:type="dxa"/>
            <w:noWrap/>
            <w:hideMark/>
          </w:tcPr>
          <w:p w14:paraId="7F557C8E" w14:textId="66A016EA"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0.65</w:t>
            </w:r>
          </w:p>
        </w:tc>
        <w:tc>
          <w:tcPr>
            <w:tcW w:w="850" w:type="dxa"/>
            <w:noWrap/>
            <w:hideMark/>
          </w:tcPr>
          <w:p w14:paraId="0D983EBD" w14:textId="46745C2D"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0.516</w:t>
            </w:r>
          </w:p>
        </w:tc>
        <w:tc>
          <w:tcPr>
            <w:tcW w:w="1648" w:type="dxa"/>
            <w:noWrap/>
            <w:hideMark/>
          </w:tcPr>
          <w:p w14:paraId="24AB828C" w14:textId="375AF37D"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-0.0013</w:t>
            </w:r>
          </w:p>
        </w:tc>
        <w:tc>
          <w:tcPr>
            <w:tcW w:w="1187" w:type="dxa"/>
            <w:noWrap/>
            <w:hideMark/>
          </w:tcPr>
          <w:p w14:paraId="62BBFCF0" w14:textId="0E6655F6"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0.0025</w:t>
            </w:r>
          </w:p>
        </w:tc>
      </w:tr>
      <w:tr w:rsidR="00FA2E3E" w:rsidRPr="008A2462" w14:paraId="5D235D47" w14:textId="77777777" w:rsidTr="00FF7AA8">
        <w:trPr>
          <w:trHeight w:val="277"/>
        </w:trPr>
        <w:tc>
          <w:tcPr>
            <w:tcW w:w="1557" w:type="dxa"/>
            <w:noWrap/>
            <w:hideMark/>
          </w:tcPr>
          <w:p w14:paraId="11B33655" w14:textId="2D5C1E7C" w:rsidR="00FA2E3E" w:rsidRPr="00FA2E3E" w:rsidRDefault="0062217F" w:rsidP="00FA2E3E">
            <w:pPr>
              <w:rPr>
                <w:rFonts w:ascii="Calibri" w:eastAsia="Times New Roman" w:hAnsi="Calibri" w:cs="Calibri"/>
                <w:color w:val="000000"/>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4</m:t>
                    </m:r>
                  </m:sub>
                </m:sSub>
              </m:oMath>
            </m:oMathPara>
          </w:p>
        </w:tc>
        <w:tc>
          <w:tcPr>
            <w:tcW w:w="1416" w:type="dxa"/>
            <w:noWrap/>
            <w:hideMark/>
          </w:tcPr>
          <w:p w14:paraId="23381D0B" w14:textId="1CC8073B"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0.0024</w:t>
            </w:r>
          </w:p>
        </w:tc>
        <w:tc>
          <w:tcPr>
            <w:tcW w:w="1648" w:type="dxa"/>
            <w:noWrap/>
            <w:hideMark/>
          </w:tcPr>
          <w:p w14:paraId="3ABEF162" w14:textId="25D3C501"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0.0015</w:t>
            </w:r>
          </w:p>
        </w:tc>
        <w:tc>
          <w:tcPr>
            <w:tcW w:w="903" w:type="dxa"/>
            <w:noWrap/>
            <w:hideMark/>
          </w:tcPr>
          <w:p w14:paraId="4A3F13E5" w14:textId="62539745"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1.61</w:t>
            </w:r>
          </w:p>
        </w:tc>
        <w:tc>
          <w:tcPr>
            <w:tcW w:w="850" w:type="dxa"/>
            <w:noWrap/>
            <w:hideMark/>
          </w:tcPr>
          <w:p w14:paraId="70EB031E" w14:textId="79007C1F"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0.107</w:t>
            </w:r>
          </w:p>
        </w:tc>
        <w:tc>
          <w:tcPr>
            <w:tcW w:w="1648" w:type="dxa"/>
            <w:noWrap/>
            <w:hideMark/>
          </w:tcPr>
          <w:p w14:paraId="02E38851" w14:textId="6C49DE23"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-0.0005</w:t>
            </w:r>
          </w:p>
        </w:tc>
        <w:tc>
          <w:tcPr>
            <w:tcW w:w="1187" w:type="dxa"/>
            <w:noWrap/>
            <w:hideMark/>
          </w:tcPr>
          <w:p w14:paraId="6DF14CFC" w14:textId="5240F2B6"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0.0053</w:t>
            </w:r>
          </w:p>
        </w:tc>
      </w:tr>
      <w:tr w:rsidR="00FA2E3E" w:rsidRPr="008A2462" w14:paraId="154F09A5" w14:textId="77777777" w:rsidTr="00FF7AA8">
        <w:trPr>
          <w:trHeight w:val="277"/>
        </w:trPr>
        <w:tc>
          <w:tcPr>
            <w:tcW w:w="1557" w:type="dxa"/>
            <w:noWrap/>
            <w:hideMark/>
          </w:tcPr>
          <w:p w14:paraId="30BE55C5" w14:textId="1EB5792D" w:rsidR="00FA2E3E" w:rsidRPr="00FA2E3E" w:rsidRDefault="0062217F" w:rsidP="00FA2E3E">
            <w:pPr>
              <w:rPr>
                <w:rFonts w:ascii="Calibri" w:eastAsia="Times New Roman" w:hAnsi="Calibri" w:cs="Calibri"/>
                <w:color w:val="000000"/>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5</m:t>
                    </m:r>
                  </m:sub>
                </m:sSub>
              </m:oMath>
            </m:oMathPara>
          </w:p>
        </w:tc>
        <w:tc>
          <w:tcPr>
            <w:tcW w:w="1416" w:type="dxa"/>
            <w:noWrap/>
            <w:hideMark/>
          </w:tcPr>
          <w:p w14:paraId="10ED2C67" w14:textId="064B480C"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0.0000</w:t>
            </w:r>
          </w:p>
        </w:tc>
        <w:tc>
          <w:tcPr>
            <w:tcW w:w="1648" w:type="dxa"/>
            <w:noWrap/>
            <w:hideMark/>
          </w:tcPr>
          <w:p w14:paraId="75CD29FB" w14:textId="51FF0064"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0.0016</w:t>
            </w:r>
          </w:p>
        </w:tc>
        <w:tc>
          <w:tcPr>
            <w:tcW w:w="903" w:type="dxa"/>
            <w:noWrap/>
            <w:hideMark/>
          </w:tcPr>
          <w:p w14:paraId="5AD075B9" w14:textId="39B52699"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0.02</w:t>
            </w:r>
          </w:p>
        </w:tc>
        <w:tc>
          <w:tcPr>
            <w:tcW w:w="850" w:type="dxa"/>
            <w:noWrap/>
            <w:hideMark/>
          </w:tcPr>
          <w:p w14:paraId="0A4117A5" w14:textId="29712A21"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0.982</w:t>
            </w:r>
          </w:p>
        </w:tc>
        <w:tc>
          <w:tcPr>
            <w:tcW w:w="1648" w:type="dxa"/>
            <w:noWrap/>
            <w:hideMark/>
          </w:tcPr>
          <w:p w14:paraId="7E34DBD2" w14:textId="7D2BF784"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-0.0030</w:t>
            </w:r>
          </w:p>
        </w:tc>
        <w:tc>
          <w:tcPr>
            <w:tcW w:w="1187" w:type="dxa"/>
            <w:noWrap/>
            <w:hideMark/>
          </w:tcPr>
          <w:p w14:paraId="4CE2010C" w14:textId="59FE621B"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0.0031</w:t>
            </w:r>
          </w:p>
        </w:tc>
      </w:tr>
      <w:tr w:rsidR="00FA2E3E" w:rsidRPr="008A2462" w14:paraId="785F021C" w14:textId="77777777" w:rsidTr="00FF7AA8">
        <w:trPr>
          <w:trHeight w:val="277"/>
        </w:trPr>
        <w:tc>
          <w:tcPr>
            <w:tcW w:w="1557" w:type="dxa"/>
            <w:noWrap/>
            <w:hideMark/>
          </w:tcPr>
          <w:p w14:paraId="1431C215" w14:textId="36400B5F" w:rsidR="00FA2E3E" w:rsidRPr="00FA2E3E" w:rsidRDefault="0062217F" w:rsidP="00FA2E3E">
            <w:pPr>
              <w:rPr>
                <w:rFonts w:ascii="Calibri" w:eastAsia="Times New Roman" w:hAnsi="Calibri" w:cs="Calibri"/>
                <w:color w:val="000000"/>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6</m:t>
                    </m:r>
                  </m:sub>
                </m:sSub>
              </m:oMath>
            </m:oMathPara>
          </w:p>
        </w:tc>
        <w:tc>
          <w:tcPr>
            <w:tcW w:w="1416" w:type="dxa"/>
            <w:noWrap/>
            <w:hideMark/>
          </w:tcPr>
          <w:p w14:paraId="53EF4983" w14:textId="06A0FD63"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-0.0012</w:t>
            </w:r>
          </w:p>
        </w:tc>
        <w:tc>
          <w:tcPr>
            <w:tcW w:w="1648" w:type="dxa"/>
            <w:noWrap/>
            <w:hideMark/>
          </w:tcPr>
          <w:p w14:paraId="1DE41509" w14:textId="5C790CA9"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0.0016</w:t>
            </w:r>
          </w:p>
        </w:tc>
        <w:tc>
          <w:tcPr>
            <w:tcW w:w="903" w:type="dxa"/>
            <w:noWrap/>
            <w:hideMark/>
          </w:tcPr>
          <w:p w14:paraId="5207CA11" w14:textId="12FB0CC5"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-0.75</w:t>
            </w:r>
          </w:p>
        </w:tc>
        <w:tc>
          <w:tcPr>
            <w:tcW w:w="850" w:type="dxa"/>
            <w:noWrap/>
            <w:hideMark/>
          </w:tcPr>
          <w:p w14:paraId="0FDFD92D" w14:textId="70E1F805"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0.456</w:t>
            </w:r>
          </w:p>
        </w:tc>
        <w:tc>
          <w:tcPr>
            <w:tcW w:w="1648" w:type="dxa"/>
            <w:noWrap/>
            <w:hideMark/>
          </w:tcPr>
          <w:p w14:paraId="199B5583" w14:textId="73E84DFA"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-0.0043</w:t>
            </w:r>
          </w:p>
        </w:tc>
        <w:tc>
          <w:tcPr>
            <w:tcW w:w="1187" w:type="dxa"/>
            <w:noWrap/>
            <w:hideMark/>
          </w:tcPr>
          <w:p w14:paraId="772C44F9" w14:textId="6CA126A6" w:rsidR="00FA2E3E" w:rsidRPr="00383397" w:rsidRDefault="00FA2E3E" w:rsidP="00FA2E3E">
            <w:pPr>
              <w:jc w:val="center"/>
              <w:rPr>
                <w:rFonts w:ascii="Calibri" w:eastAsia="Times New Roman" w:hAnsi="Calibri" w:cs="Calibri"/>
                <w:color w:val="000000"/>
              </w:rPr>
            </w:pPr>
            <w:r w:rsidRPr="00383397">
              <w:rPr>
                <w:rFonts w:ascii="Calibri" w:hAnsi="Calibri" w:cs="Calibri"/>
                <w:color w:val="000000"/>
              </w:rPr>
              <w:t>0.0019</w:t>
            </w:r>
          </w:p>
        </w:tc>
      </w:tr>
      <w:tr w:rsidR="00383397" w:rsidRPr="008A2462" w14:paraId="23F6F677" w14:textId="77777777" w:rsidTr="00FF7AA8">
        <w:trPr>
          <w:trHeight w:val="277"/>
        </w:trPr>
        <w:tc>
          <w:tcPr>
            <w:tcW w:w="1557" w:type="dxa"/>
            <w:noWrap/>
            <w:hideMark/>
          </w:tcPr>
          <w:p w14:paraId="6FE0DD89" w14:textId="1A357D7D" w:rsidR="00383397" w:rsidRPr="008A2462" w:rsidRDefault="00383397" w:rsidP="00383397">
            <w:pPr>
              <w:rPr>
                <w:rFonts w:ascii="Calibri" w:eastAsia="Times New Roman" w:hAnsi="Calibri" w:cs="Calibri"/>
                <w:color w:val="000000"/>
              </w:rPr>
            </w:pPr>
            <w:r w:rsidRPr="00D45D28">
              <w:rPr>
                <w:rFonts w:ascii="Calibri" w:eastAsia="Times New Roman" w:hAnsi="Calibri" w:cs="Calibri"/>
                <w:color w:val="000000"/>
              </w:rPr>
              <w:t>Chile</w:t>
            </w:r>
            <w:r w:rsidR="001D720D">
              <w:rPr>
                <w:rFonts w:ascii="Calibri" w:eastAsia="Times New Roman" w:hAnsi="Calibri" w:cs="Calibri"/>
                <w:color w:val="000000"/>
              </w:rPr>
              <w:t xml:space="preserve"> </w:t>
            </w:r>
            <w:r w:rsidR="001D720D" w:rsidRPr="008A2462">
              <w:rPr>
                <w:rFonts w:ascii="Calibri" w:eastAsia="Times New Roman" w:hAnsi="Calibri" w:cs="Calibri"/>
                <w:color w:val="000000"/>
              </w:rPr>
              <w:t>I</w:t>
            </w:r>
            <w:r w:rsidR="001D720D">
              <w:rPr>
                <w:rFonts w:ascii="Calibri" w:eastAsia="Times New Roman" w:hAnsi="Calibri" w:cs="Calibri"/>
                <w:color w:val="000000"/>
              </w:rPr>
              <w:t>nf</w:t>
            </w:r>
            <w:r w:rsidR="001D720D" w:rsidRPr="008A2462">
              <w:rPr>
                <w:rFonts w:ascii="Calibri" w:eastAsia="Times New Roman" w:hAnsi="Calibri" w:cs="Calibri"/>
                <w:color w:val="000000"/>
              </w:rPr>
              <w:t>.</w:t>
            </w:r>
            <w:r w:rsidRPr="00D45D28">
              <w:rPr>
                <w:rFonts w:ascii="Calibri" w:eastAsia="Times New Roman" w:hAnsi="Calibri" w:cs="Calibri"/>
                <w:color w:val="000000"/>
              </w:rPr>
              <w:t xml:space="preserve"> </w:t>
            </w:r>
            <m:oMath>
              <m:sSub>
                <m:sSubPr>
                  <m:ctrlPr>
                    <w:rPr>
                      <w:rFonts w:ascii="Cambria Math" w:eastAsiaTheme="minorEastAsia" w:hAnsi="Cambria Math"/>
                      <w:sz w:val="24"/>
                      <w:szCs w:val="24"/>
                      <w:lang w:val="es-CL"/>
                    </w:rPr>
                  </m:ctrlPr>
                </m:sSubPr>
                <m:e>
                  <m:r>
                    <m:rPr>
                      <m:sty m:val="p"/>
                    </m:rPr>
                    <w:rPr>
                      <w:rFonts w:ascii="Cambria Math" w:eastAsiaTheme="minorEastAsia" w:hAnsi="Cambria Math"/>
                      <w:sz w:val="24"/>
                      <w:szCs w:val="24"/>
                      <w:lang w:val="es-CL"/>
                    </w:rPr>
                    <m:t>L</m:t>
                  </m:r>
                </m:e>
                <m:sub>
                  <m:r>
                    <m:rPr>
                      <m:sty m:val="p"/>
                    </m:rPr>
                    <w:rPr>
                      <w:rFonts w:ascii="Cambria Math" w:eastAsiaTheme="minorEastAsia" w:hAnsi="Cambria Math"/>
                      <w:sz w:val="24"/>
                      <w:szCs w:val="24"/>
                      <w:lang w:val="es-CL"/>
                    </w:rPr>
                    <m:t>1</m:t>
                  </m:r>
                </m:sub>
              </m:sSub>
            </m:oMath>
          </w:p>
        </w:tc>
        <w:tc>
          <w:tcPr>
            <w:tcW w:w="1416" w:type="dxa"/>
            <w:noWrap/>
            <w:hideMark/>
          </w:tcPr>
          <w:p w14:paraId="209FCA3B" w14:textId="33A0AF98"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0.3370</w:t>
            </w:r>
          </w:p>
        </w:tc>
        <w:tc>
          <w:tcPr>
            <w:tcW w:w="1648" w:type="dxa"/>
            <w:noWrap/>
            <w:hideMark/>
          </w:tcPr>
          <w:p w14:paraId="2D1DFDD8" w14:textId="7AF5841F"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0.0693</w:t>
            </w:r>
          </w:p>
        </w:tc>
        <w:tc>
          <w:tcPr>
            <w:tcW w:w="903" w:type="dxa"/>
            <w:noWrap/>
            <w:hideMark/>
          </w:tcPr>
          <w:p w14:paraId="72A01B16" w14:textId="5513A072"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4.86</w:t>
            </w:r>
          </w:p>
        </w:tc>
        <w:tc>
          <w:tcPr>
            <w:tcW w:w="850" w:type="dxa"/>
            <w:noWrap/>
            <w:hideMark/>
          </w:tcPr>
          <w:p w14:paraId="033C101C" w14:textId="12A243A3"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w:t>
            </w:r>
          </w:p>
        </w:tc>
        <w:tc>
          <w:tcPr>
            <w:tcW w:w="1648" w:type="dxa"/>
            <w:noWrap/>
            <w:hideMark/>
          </w:tcPr>
          <w:p w14:paraId="3242B20D" w14:textId="674F6FCB"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0.2012</w:t>
            </w:r>
          </w:p>
        </w:tc>
        <w:tc>
          <w:tcPr>
            <w:tcW w:w="1187" w:type="dxa"/>
            <w:noWrap/>
            <w:hideMark/>
          </w:tcPr>
          <w:p w14:paraId="43B57930" w14:textId="7DDCD0F3"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0.4728</w:t>
            </w:r>
          </w:p>
        </w:tc>
      </w:tr>
      <w:tr w:rsidR="00383397" w:rsidRPr="008A2462" w14:paraId="2EC34190" w14:textId="77777777" w:rsidTr="00FF7AA8">
        <w:trPr>
          <w:trHeight w:val="277"/>
        </w:trPr>
        <w:tc>
          <w:tcPr>
            <w:tcW w:w="1557" w:type="dxa"/>
            <w:noWrap/>
            <w:hideMark/>
          </w:tcPr>
          <w:p w14:paraId="5459E668" w14:textId="3ED1446A" w:rsidR="00383397" w:rsidRPr="008E7809" w:rsidRDefault="0062217F" w:rsidP="00383397">
            <w:pPr>
              <w:rPr>
                <w:rFonts w:ascii="Calibri" w:eastAsia="Times New Roman" w:hAnsi="Calibri" w:cs="Calibri"/>
                <w:color w:val="000000"/>
              </w:rPr>
            </w:pPr>
            <m:oMathPara>
              <m:oMathParaPr>
                <m:jc m:val="left"/>
              </m:oMathParaPr>
              <m:oMath>
                <m:sSub>
                  <m:sSubPr>
                    <m:ctrlPr>
                      <w:rPr>
                        <w:rFonts w:ascii="Cambria Math" w:eastAsia="Times New Roman" w:hAnsi="Cambria Math" w:cs="Calibri"/>
                        <w:i/>
                        <w:color w:val="000000" w:themeColor="text1"/>
                        <w:lang w:val="es-CL"/>
                      </w:rPr>
                    </m:ctrlPr>
                  </m:sSubPr>
                  <m:e>
                    <m:r>
                      <w:rPr>
                        <w:rFonts w:ascii="Cambria Math" w:eastAsia="Times New Roman" w:hAnsi="Cambria Math" w:cs="Calibri"/>
                        <w:color w:val="000000" w:themeColor="text1"/>
                      </w:rPr>
                      <m:t>γ</m:t>
                    </m:r>
                  </m:e>
                  <m:sub>
                    <m:r>
                      <w:rPr>
                        <w:rFonts w:ascii="Cambria Math" w:eastAsia="Times New Roman" w:hAnsi="Cambria Math" w:cs="Calibri"/>
                        <w:color w:val="000000" w:themeColor="text1"/>
                      </w:rPr>
                      <m:t>0</m:t>
                    </m:r>
                  </m:sub>
                </m:sSub>
              </m:oMath>
            </m:oMathPara>
          </w:p>
        </w:tc>
        <w:tc>
          <w:tcPr>
            <w:tcW w:w="1416" w:type="dxa"/>
            <w:noWrap/>
            <w:hideMark/>
          </w:tcPr>
          <w:p w14:paraId="17E8FFF2" w14:textId="569936A4"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0.0005</w:t>
            </w:r>
          </w:p>
        </w:tc>
        <w:tc>
          <w:tcPr>
            <w:tcW w:w="1648" w:type="dxa"/>
            <w:noWrap/>
            <w:hideMark/>
          </w:tcPr>
          <w:p w14:paraId="60AFAA6C" w14:textId="6C79E91E"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0.0003</w:t>
            </w:r>
          </w:p>
        </w:tc>
        <w:tc>
          <w:tcPr>
            <w:tcW w:w="903" w:type="dxa"/>
            <w:noWrap/>
            <w:hideMark/>
          </w:tcPr>
          <w:p w14:paraId="4E29E453" w14:textId="093FD672"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1.71</w:t>
            </w:r>
          </w:p>
        </w:tc>
        <w:tc>
          <w:tcPr>
            <w:tcW w:w="850" w:type="dxa"/>
            <w:noWrap/>
            <w:hideMark/>
          </w:tcPr>
          <w:p w14:paraId="38291DFE" w14:textId="6EA84C2E"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0.088</w:t>
            </w:r>
          </w:p>
        </w:tc>
        <w:tc>
          <w:tcPr>
            <w:tcW w:w="1648" w:type="dxa"/>
            <w:noWrap/>
            <w:hideMark/>
          </w:tcPr>
          <w:p w14:paraId="1C706AF3" w14:textId="37FACB5D"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-0.0001</w:t>
            </w:r>
          </w:p>
        </w:tc>
        <w:tc>
          <w:tcPr>
            <w:tcW w:w="1187" w:type="dxa"/>
            <w:noWrap/>
            <w:hideMark/>
          </w:tcPr>
          <w:p w14:paraId="1FC39F4E" w14:textId="7DEB9A64" w:rsidR="00383397" w:rsidRPr="00383397" w:rsidRDefault="00383397" w:rsidP="00383397">
            <w:pPr>
              <w:jc w:val="center"/>
              <w:rPr>
                <w:rFonts w:ascii="Calibri" w:eastAsia="Times New Roman" w:hAnsi="Calibri" w:cs="Calibri"/>
                <w:color w:val="000000"/>
              </w:rPr>
            </w:pPr>
            <w:r w:rsidRPr="00383397">
              <w:rPr>
                <w:rFonts w:ascii="Calibri" w:hAnsi="Calibri" w:cs="Calibri"/>
                <w:color w:val="000000"/>
              </w:rPr>
              <w:t>0.0011</w:t>
            </w:r>
          </w:p>
        </w:tc>
      </w:tr>
    </w:tbl>
    <w:p w14:paraId="60DABF86" w14:textId="77777777" w:rsidR="009564DE" w:rsidRPr="00495BC4" w:rsidRDefault="009564DE" w:rsidP="003B43DA">
      <w:pPr>
        <w:jc w:val="both"/>
        <w:rPr>
          <w:rFonts w:eastAsiaTheme="minorEastAsia"/>
          <w:b/>
          <w:bCs/>
          <w:sz w:val="24"/>
          <w:szCs w:val="24"/>
          <w:u w:val="single"/>
          <w:lang w:val="es-CL"/>
        </w:rPr>
      </w:pPr>
    </w:p>
    <w:p w14:paraId="1414D01D" w14:textId="13E36705" w:rsidR="00C92120" w:rsidRPr="003B6C66" w:rsidRDefault="007904FB" w:rsidP="00C92120">
      <w:pPr>
        <w:jc w:val="both"/>
        <w:rPr>
          <w:sz w:val="24"/>
          <w:szCs w:val="24"/>
        </w:rPr>
      </w:pPr>
      <w:r w:rsidRPr="003B6C66">
        <w:rPr>
          <w:sz w:val="24"/>
          <w:szCs w:val="24"/>
        </w:rPr>
        <w:t xml:space="preserve">As can be seen by comparing tables 1 and 3, the values ​​and significance of the parameters estimated by TSLS and GMM are quite similar. In both estimates, the most important variables that affect domestic inflation are external inflation, particularly that of the United States, and the exchange rate. On the other hand, the direct effect of domestic demand seems </w:t>
      </w:r>
      <w:r w:rsidR="00B86A28" w:rsidRPr="003B6C66">
        <w:rPr>
          <w:sz w:val="24"/>
          <w:szCs w:val="24"/>
        </w:rPr>
        <w:t>to be of little significance</w:t>
      </w:r>
      <w:r w:rsidRPr="003B6C66">
        <w:rPr>
          <w:sz w:val="24"/>
          <w:szCs w:val="24"/>
        </w:rPr>
        <w:t>. However, given the importance of the exchange rate as a determinant of inflation</w:t>
      </w:r>
      <w:r w:rsidR="00980889" w:rsidRPr="003B6C66">
        <w:rPr>
          <w:sz w:val="24"/>
          <w:szCs w:val="24"/>
        </w:rPr>
        <w:t xml:space="preserve"> </w:t>
      </w:r>
      <w:r w:rsidRPr="003B6C66">
        <w:rPr>
          <w:sz w:val="24"/>
          <w:szCs w:val="24"/>
        </w:rPr>
        <w:t>as stated above, it is possible that the demand effect on inflation occurs fundamentally through this variable. For this reason we focus on the estimation of the first stage of the TSLS in order to include the possible indirect effect of demand on the exchange rate as a factor that drives inflation.</w:t>
      </w:r>
    </w:p>
    <w:p w14:paraId="3DCDB91F" w14:textId="26003881" w:rsidR="00B95F3B" w:rsidRPr="003B6C66" w:rsidRDefault="00B95F3B" w:rsidP="00547D4C">
      <w:pPr>
        <w:jc w:val="both"/>
        <w:rPr>
          <w:i/>
          <w:iCs/>
          <w:sz w:val="24"/>
          <w:szCs w:val="24"/>
        </w:rPr>
      </w:pPr>
      <w:r w:rsidRPr="003B6C66">
        <w:rPr>
          <w:i/>
          <w:iCs/>
          <w:sz w:val="24"/>
          <w:szCs w:val="24"/>
        </w:rPr>
        <w:t xml:space="preserve">Direct effect of domestic demand. </w:t>
      </w:r>
      <w:r w:rsidRPr="003B6C66">
        <w:rPr>
          <w:sz w:val="24"/>
          <w:szCs w:val="24"/>
        </w:rPr>
        <w:t xml:space="preserve">Using the estimated parameters, it follows that the estimated effect of domestic demand in a normal period is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γ</m:t>
            </m:r>
          </m:e>
          <m:sub>
            <m:r>
              <w:rPr>
                <w:rFonts w:ascii="Cambria Math" w:eastAsiaTheme="minorEastAsia" w:hAnsi="Cambria Math"/>
                <w:sz w:val="24"/>
                <w:szCs w:val="24"/>
              </w:rPr>
              <m:t>0</m:t>
            </m:r>
          </m:sub>
        </m:sSub>
      </m:oMath>
      <w:r w:rsidRPr="003B6C66">
        <w:rPr>
          <w:sz w:val="24"/>
          <w:szCs w:val="24"/>
        </w:rPr>
        <w:t xml:space="preserve"> and in the abnormal period </w:t>
      </w:r>
      <m:oMath>
        <m:r>
          <w:rPr>
            <w:rFonts w:ascii="Cambria Math" w:hAnsi="Cambria Math"/>
            <w:sz w:val="24"/>
            <w:szCs w:val="24"/>
            <w:lang w:val="es-CL"/>
          </w:rPr>
          <m:t>i</m:t>
        </m:r>
      </m:oMath>
      <w:r w:rsidRPr="003B6C66">
        <w:rPr>
          <w:rFonts w:eastAsiaTheme="minorEastAsia"/>
          <w:sz w:val="24"/>
          <w:szCs w:val="24"/>
        </w:rPr>
        <w:t xml:space="preserve"> is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γ</m:t>
            </m:r>
          </m:e>
          <m:sub>
            <m:r>
              <w:rPr>
                <w:rFonts w:ascii="Cambria Math" w:eastAsiaTheme="minorEastAsia" w:hAnsi="Cambria Math"/>
                <w:sz w:val="24"/>
                <w:szCs w:val="24"/>
              </w:rPr>
              <m:t>0</m:t>
            </m:r>
          </m:sub>
        </m:sSub>
        <m:r>
          <w:rPr>
            <w:rFonts w:ascii="Cambria Math" w:eastAsiaTheme="minorEastAsia" w:hAnsi="Cambria Math"/>
            <w:sz w:val="24"/>
            <w:szCs w:val="24"/>
          </w:rPr>
          <m:t>+</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γ</m:t>
            </m:r>
          </m:e>
          <m:sub>
            <m:r>
              <w:rPr>
                <w:rFonts w:ascii="Cambria Math" w:eastAsiaTheme="minorEastAsia" w:hAnsi="Cambria Math"/>
                <w:sz w:val="24"/>
                <w:szCs w:val="24"/>
                <w:lang w:val="es-CL"/>
              </w:rPr>
              <m:t>i</m:t>
            </m:r>
          </m:sub>
        </m:sSub>
      </m:oMath>
      <w:r w:rsidRPr="003B6C66">
        <w:rPr>
          <w:sz w:val="24"/>
          <w:szCs w:val="24"/>
        </w:rPr>
        <w:t xml:space="preserve">, where </w:t>
      </w:r>
      <m:oMath>
        <m:r>
          <w:rPr>
            <w:rFonts w:ascii="Cambria Math" w:hAnsi="Cambria Math"/>
            <w:sz w:val="24"/>
            <w:szCs w:val="24"/>
            <w:lang w:val="es-CL"/>
          </w:rPr>
          <m:t>i</m:t>
        </m:r>
        <m:r>
          <w:rPr>
            <w:rFonts w:ascii="Cambria Math" w:hAnsi="Cambria Math"/>
            <w:sz w:val="24"/>
            <w:szCs w:val="24"/>
          </w:rPr>
          <m:t>=1,2...,6</m:t>
        </m:r>
      </m:oMath>
      <w:r w:rsidRPr="003B6C66">
        <w:rPr>
          <w:rFonts w:eastAsiaTheme="minorEastAsia"/>
          <w:sz w:val="24"/>
          <w:szCs w:val="24"/>
        </w:rPr>
        <w:t xml:space="preserve"> </w:t>
      </w:r>
      <w:r w:rsidRPr="003B6C66">
        <w:rPr>
          <w:sz w:val="24"/>
          <w:szCs w:val="24"/>
        </w:rPr>
        <w:t xml:space="preserve">is associated with the period in which the dummy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i</m:t>
            </m:r>
          </m:sub>
        </m:sSub>
      </m:oMath>
      <w:r w:rsidRPr="003B6C66">
        <w:rPr>
          <w:sz w:val="24"/>
          <w:szCs w:val="24"/>
        </w:rPr>
        <w:t xml:space="preserve"> takes the value 1.</w:t>
      </w:r>
    </w:p>
    <w:p w14:paraId="27D2D9F8" w14:textId="24B624D9" w:rsidR="00547D4C" w:rsidRPr="003B6C66" w:rsidRDefault="00434B2B" w:rsidP="00547D4C">
      <w:pPr>
        <w:tabs>
          <w:tab w:val="left" w:pos="5479"/>
        </w:tabs>
        <w:jc w:val="both"/>
        <w:rPr>
          <w:sz w:val="24"/>
          <w:szCs w:val="24"/>
        </w:rPr>
      </w:pPr>
      <w:r w:rsidRPr="003B6C66">
        <w:rPr>
          <w:sz w:val="24"/>
          <w:szCs w:val="24"/>
        </w:rPr>
        <w:t xml:space="preserve">In general, the direct effect of the demand impulses in all the periods considered is very small and of low statistical significance. The </w:t>
      </w:r>
      <w:r w:rsidR="001417B8" w:rsidRPr="003B6C66">
        <w:rPr>
          <w:sz w:val="24"/>
          <w:szCs w:val="24"/>
        </w:rPr>
        <w:t>figures</w:t>
      </w:r>
      <w:r w:rsidRPr="003B6C66">
        <w:rPr>
          <w:sz w:val="24"/>
          <w:szCs w:val="24"/>
        </w:rPr>
        <w:t xml:space="preserve"> presented in tables 1 to 3 consider only the individual statistical significance of each </w:t>
      </w:r>
      <w:r w:rsidR="003173AC" w:rsidRPr="003B6C66">
        <w:rPr>
          <w:sz w:val="24"/>
          <w:szCs w:val="24"/>
        </w:rPr>
        <w:t>variable</w:t>
      </w:r>
      <w:r w:rsidRPr="003B6C66">
        <w:rPr>
          <w:sz w:val="24"/>
          <w:szCs w:val="24"/>
        </w:rPr>
        <w:t xml:space="preserve">. </w:t>
      </w:r>
      <w:r w:rsidR="00D76886" w:rsidRPr="003B6C66">
        <w:rPr>
          <w:sz w:val="24"/>
          <w:szCs w:val="24"/>
        </w:rPr>
        <w:t>In addition</w:t>
      </w:r>
      <w:r w:rsidRPr="003B6C66">
        <w:rPr>
          <w:sz w:val="24"/>
          <w:szCs w:val="24"/>
        </w:rPr>
        <w:t>, we consider the joint significance of all demand variables on inflation.</w:t>
      </w:r>
      <w:r w:rsidR="00547D4C" w:rsidRPr="003B6C66">
        <w:rPr>
          <w:sz w:val="24"/>
          <w:szCs w:val="24"/>
        </w:rPr>
        <w:tab/>
      </w:r>
    </w:p>
    <w:p w14:paraId="5EF4D251" w14:textId="7EC81B31" w:rsidR="0095587C" w:rsidRDefault="0095587C" w:rsidP="000C41C7">
      <w:pPr>
        <w:jc w:val="both"/>
        <w:rPr>
          <w:i/>
          <w:iCs/>
          <w:sz w:val="24"/>
          <w:szCs w:val="24"/>
          <w:lang w:val="es-CL"/>
        </w:rPr>
      </w:pPr>
      <w:r w:rsidRPr="003B6C66">
        <w:rPr>
          <w:i/>
          <w:iCs/>
          <w:sz w:val="24"/>
          <w:szCs w:val="24"/>
        </w:rPr>
        <w:lastRenderedPageBreak/>
        <w:t xml:space="preserve">Joint significance tests of demand effects. </w:t>
      </w:r>
      <w:r w:rsidRPr="003B6C66">
        <w:rPr>
          <w:sz w:val="24"/>
          <w:szCs w:val="24"/>
        </w:rPr>
        <w:t xml:space="preserve">We perform a joint significance test on the constant and the parameters of the dummy variables that are defined for the years 2020 and 2021. </w:t>
      </w:r>
      <w:r w:rsidRPr="00BC6C72">
        <w:rPr>
          <w:sz w:val="24"/>
          <w:szCs w:val="24"/>
          <w:lang w:val="es-CL"/>
        </w:rPr>
        <w:t>Specifically, the null hypothesis for both estimat</w:t>
      </w:r>
      <w:r w:rsidR="0030038C">
        <w:rPr>
          <w:sz w:val="24"/>
          <w:szCs w:val="24"/>
          <w:lang w:val="es-CL"/>
        </w:rPr>
        <w:t>ion methods</w:t>
      </w:r>
      <w:r w:rsidR="001C5FEC">
        <w:rPr>
          <w:sz w:val="24"/>
          <w:szCs w:val="24"/>
          <w:lang w:val="es-CL"/>
        </w:rPr>
        <w:t xml:space="preserve"> is</w:t>
      </w:r>
      <w:r w:rsidRPr="00BC6C72">
        <w:rPr>
          <w:sz w:val="24"/>
          <w:szCs w:val="24"/>
          <w:lang w:val="es-CL"/>
        </w:rPr>
        <w:t>,</w:t>
      </w:r>
    </w:p>
    <w:p w14:paraId="421E59C6" w14:textId="72C4C9DA" w:rsidR="00562542" w:rsidRPr="00E3292E" w:rsidRDefault="0062217F" w:rsidP="000C41C7">
      <w:pPr>
        <w:jc w:val="both"/>
        <w:rPr>
          <w:rFonts w:eastAsiaTheme="minorEastAsia"/>
          <w:sz w:val="24"/>
          <w:szCs w:val="24"/>
          <w:lang w:val="es-CL"/>
        </w:rPr>
      </w:pPr>
      <m:oMathPara>
        <m:oMathParaPr>
          <m:jc m:val="left"/>
        </m:oMathParaPr>
        <m:oMath>
          <m:sSub>
            <m:sSubPr>
              <m:ctrlPr>
                <w:rPr>
                  <w:rFonts w:ascii="Cambria Math" w:hAnsi="Cambria Math"/>
                  <w:i/>
                  <w:sz w:val="24"/>
                  <w:szCs w:val="24"/>
                  <w:lang w:val="es-CL"/>
                </w:rPr>
              </m:ctrlPr>
            </m:sSubPr>
            <m:e>
              <m:r>
                <w:rPr>
                  <w:rFonts w:ascii="Cambria Math" w:hAnsi="Cambria Math"/>
                  <w:sz w:val="24"/>
                  <w:szCs w:val="24"/>
                  <w:lang w:val="es-CL"/>
                </w:rPr>
                <m:t>H</m:t>
              </m:r>
            </m:e>
            <m:sub>
              <m:r>
                <w:rPr>
                  <w:rFonts w:ascii="Cambria Math" w:hAnsi="Cambria Math"/>
                  <w:sz w:val="24"/>
                  <w:szCs w:val="24"/>
                  <w:lang w:val="es-CL"/>
                </w:rPr>
                <m:t>0</m:t>
              </m:r>
            </m:sub>
          </m:sSub>
          <m:r>
            <w:rPr>
              <w:rFonts w:ascii="Cambria Math" w:hAnsi="Cambria Math"/>
              <w:sz w:val="24"/>
              <w:szCs w:val="24"/>
              <w:lang w:val="es-CL"/>
            </w:rPr>
            <m:t xml:space="preserve">: </m:t>
          </m:r>
          <m:sSub>
            <m:sSubPr>
              <m:ctrlPr>
                <w:rPr>
                  <w:rFonts w:ascii="Cambria Math" w:hAnsi="Cambria Math"/>
                  <w:i/>
                  <w:sz w:val="24"/>
                  <w:szCs w:val="24"/>
                  <w:lang w:val="es-CL"/>
                </w:rPr>
              </m:ctrlPr>
            </m:sSubPr>
            <m:e>
              <m:r>
                <w:rPr>
                  <w:rFonts w:ascii="Cambria Math" w:hAnsi="Cambria Math"/>
                  <w:sz w:val="24"/>
                  <w:szCs w:val="24"/>
                  <w:lang w:val="es-CL"/>
                </w:rPr>
                <m:t>γ</m:t>
              </m:r>
            </m:e>
            <m:sub>
              <m:r>
                <w:rPr>
                  <w:rFonts w:ascii="Cambria Math" w:hAnsi="Cambria Math"/>
                  <w:sz w:val="24"/>
                  <w:szCs w:val="24"/>
                  <w:lang w:val="es-CL"/>
                </w:rPr>
                <m:t>0</m:t>
              </m:r>
            </m:sub>
          </m:sSub>
          <m:r>
            <w:rPr>
              <w:rFonts w:ascii="Cambria Math" w:hAnsi="Cambria Math"/>
              <w:sz w:val="24"/>
              <w:szCs w:val="24"/>
              <w:lang w:val="es-CL"/>
            </w:rPr>
            <m:t>=</m:t>
          </m:r>
          <m:sSub>
            <m:sSubPr>
              <m:ctrlPr>
                <w:rPr>
                  <w:rFonts w:ascii="Cambria Math" w:hAnsi="Cambria Math"/>
                  <w:i/>
                  <w:sz w:val="24"/>
                  <w:szCs w:val="24"/>
                  <w:lang w:val="es-CL"/>
                </w:rPr>
              </m:ctrlPr>
            </m:sSubPr>
            <m:e>
              <m:r>
                <w:rPr>
                  <w:rFonts w:ascii="Cambria Math" w:hAnsi="Cambria Math"/>
                  <w:sz w:val="24"/>
                  <w:szCs w:val="24"/>
                  <w:lang w:val="es-CL"/>
                </w:rPr>
                <m:t>γ</m:t>
              </m:r>
            </m:e>
            <m:sub>
              <m:r>
                <w:rPr>
                  <w:rFonts w:ascii="Cambria Math" w:hAnsi="Cambria Math"/>
                  <w:sz w:val="24"/>
                  <w:szCs w:val="24"/>
                  <w:lang w:val="es-CL"/>
                </w:rPr>
                <m:t>3</m:t>
              </m:r>
            </m:sub>
          </m:sSub>
          <m:r>
            <w:rPr>
              <w:rFonts w:ascii="Cambria Math" w:hAnsi="Cambria Math"/>
              <w:sz w:val="24"/>
              <w:szCs w:val="24"/>
              <w:lang w:val="es-CL"/>
            </w:rPr>
            <m:t>=</m:t>
          </m:r>
          <m:sSub>
            <m:sSubPr>
              <m:ctrlPr>
                <w:rPr>
                  <w:rFonts w:ascii="Cambria Math" w:hAnsi="Cambria Math"/>
                  <w:i/>
                  <w:sz w:val="24"/>
                  <w:szCs w:val="24"/>
                  <w:lang w:val="es-CL"/>
                </w:rPr>
              </m:ctrlPr>
            </m:sSubPr>
            <m:e>
              <m:r>
                <w:rPr>
                  <w:rFonts w:ascii="Cambria Math" w:hAnsi="Cambria Math"/>
                  <w:sz w:val="24"/>
                  <w:szCs w:val="24"/>
                  <w:lang w:val="es-CL"/>
                </w:rPr>
                <m:t>γ</m:t>
              </m:r>
            </m:e>
            <m:sub>
              <m:r>
                <w:rPr>
                  <w:rFonts w:ascii="Cambria Math" w:hAnsi="Cambria Math"/>
                  <w:sz w:val="24"/>
                  <w:szCs w:val="24"/>
                  <w:lang w:val="es-CL"/>
                </w:rPr>
                <m:t>4</m:t>
              </m:r>
            </m:sub>
          </m:sSub>
          <m:r>
            <w:rPr>
              <w:rFonts w:ascii="Cambria Math" w:hAnsi="Cambria Math"/>
              <w:sz w:val="24"/>
              <w:szCs w:val="24"/>
              <w:lang w:val="es-CL"/>
            </w:rPr>
            <m:t>=</m:t>
          </m:r>
          <m:sSub>
            <m:sSubPr>
              <m:ctrlPr>
                <w:rPr>
                  <w:rFonts w:ascii="Cambria Math" w:hAnsi="Cambria Math"/>
                  <w:i/>
                  <w:sz w:val="24"/>
                  <w:szCs w:val="24"/>
                  <w:lang w:val="es-CL"/>
                </w:rPr>
              </m:ctrlPr>
            </m:sSubPr>
            <m:e>
              <m:r>
                <w:rPr>
                  <w:rFonts w:ascii="Cambria Math" w:hAnsi="Cambria Math"/>
                  <w:sz w:val="24"/>
                  <w:szCs w:val="24"/>
                  <w:lang w:val="es-CL"/>
                </w:rPr>
                <m:t>γ</m:t>
              </m:r>
            </m:e>
            <m:sub>
              <m:r>
                <w:rPr>
                  <w:rFonts w:ascii="Cambria Math" w:hAnsi="Cambria Math"/>
                  <w:sz w:val="24"/>
                  <w:szCs w:val="24"/>
                  <w:lang w:val="es-CL"/>
                </w:rPr>
                <m:t>5</m:t>
              </m:r>
            </m:sub>
          </m:sSub>
          <m:r>
            <w:rPr>
              <w:rFonts w:ascii="Cambria Math" w:hAnsi="Cambria Math"/>
              <w:sz w:val="24"/>
              <w:szCs w:val="24"/>
              <w:lang w:val="es-CL"/>
            </w:rPr>
            <m:t>=</m:t>
          </m:r>
          <m:sSub>
            <m:sSubPr>
              <m:ctrlPr>
                <w:rPr>
                  <w:rFonts w:ascii="Cambria Math" w:hAnsi="Cambria Math"/>
                  <w:i/>
                  <w:sz w:val="24"/>
                  <w:szCs w:val="24"/>
                  <w:lang w:val="es-CL"/>
                </w:rPr>
              </m:ctrlPr>
            </m:sSubPr>
            <m:e>
              <m:r>
                <w:rPr>
                  <w:rFonts w:ascii="Cambria Math" w:hAnsi="Cambria Math"/>
                  <w:sz w:val="24"/>
                  <w:szCs w:val="24"/>
                  <w:lang w:val="es-CL"/>
                </w:rPr>
                <m:t>γ</m:t>
              </m:r>
            </m:e>
            <m:sub>
              <m:r>
                <w:rPr>
                  <w:rFonts w:ascii="Cambria Math" w:hAnsi="Cambria Math"/>
                  <w:sz w:val="24"/>
                  <w:szCs w:val="24"/>
                  <w:lang w:val="es-CL"/>
                </w:rPr>
                <m:t>6</m:t>
              </m:r>
            </m:sub>
          </m:sSub>
          <m:r>
            <w:rPr>
              <w:rFonts w:ascii="Cambria Math" w:hAnsi="Cambria Math"/>
              <w:sz w:val="24"/>
              <w:szCs w:val="24"/>
              <w:lang w:val="es-CL"/>
            </w:rPr>
            <m:t>=0</m:t>
          </m:r>
        </m:oMath>
      </m:oMathPara>
    </w:p>
    <w:p w14:paraId="78FF842F" w14:textId="08271CC5" w:rsidR="006134FD" w:rsidRPr="003B6C66" w:rsidRDefault="006134FD" w:rsidP="000C41C7">
      <w:pPr>
        <w:jc w:val="both"/>
        <w:rPr>
          <w:rFonts w:eastAsiaTheme="minorEastAsia"/>
          <w:sz w:val="24"/>
          <w:szCs w:val="24"/>
        </w:rPr>
      </w:pPr>
      <w:r w:rsidRPr="003B6C66">
        <w:rPr>
          <w:rFonts w:eastAsiaTheme="minorEastAsia"/>
          <w:sz w:val="24"/>
          <w:szCs w:val="24"/>
        </w:rPr>
        <w:t xml:space="preserve">The tests </w:t>
      </w:r>
      <w:r w:rsidR="00783217" w:rsidRPr="003B6C66">
        <w:rPr>
          <w:rFonts w:eastAsiaTheme="minorEastAsia"/>
          <w:sz w:val="24"/>
          <w:szCs w:val="24"/>
        </w:rPr>
        <w:t>yielded</w:t>
      </w:r>
      <w:r w:rsidRPr="003B6C66">
        <w:rPr>
          <w:rFonts w:eastAsiaTheme="minorEastAsia"/>
          <w:sz w:val="24"/>
          <w:szCs w:val="24"/>
        </w:rPr>
        <w:t xml:space="preserve"> a p-value of 0.0711 and 0.0932 for the estimation by TSLS and GMM, respectively. This implies that with 90% confidence we can reject the null hypothesis that simultaneously the parameters associated with these dummy variables and the constant are zero. However, with 95% confidence we cannot reject this hypothesis.</w:t>
      </w:r>
      <w:r w:rsidR="008503DA" w:rsidRPr="003B6C66">
        <w:rPr>
          <w:rFonts w:eastAsiaTheme="minorEastAsia"/>
          <w:sz w:val="24"/>
          <w:szCs w:val="24"/>
        </w:rPr>
        <w:t xml:space="preserve"> Then, in general, the direct effect of demand factors on inflation appears to be </w:t>
      </w:r>
      <w:r w:rsidR="00F00582">
        <w:rPr>
          <w:rFonts w:eastAsiaTheme="minorEastAsia"/>
          <w:sz w:val="24"/>
          <w:szCs w:val="24"/>
        </w:rPr>
        <w:t xml:space="preserve">of </w:t>
      </w:r>
      <w:r w:rsidR="008503DA" w:rsidRPr="003B6C66">
        <w:rPr>
          <w:rFonts w:eastAsiaTheme="minorEastAsia"/>
          <w:sz w:val="24"/>
          <w:szCs w:val="24"/>
        </w:rPr>
        <w:t xml:space="preserve">weak </w:t>
      </w:r>
      <w:r w:rsidR="00F00582">
        <w:rPr>
          <w:rFonts w:eastAsiaTheme="minorEastAsia"/>
          <w:sz w:val="24"/>
          <w:szCs w:val="24"/>
        </w:rPr>
        <w:t>statistical</w:t>
      </w:r>
      <w:r w:rsidR="008503DA" w:rsidRPr="003B6C66">
        <w:rPr>
          <w:rFonts w:eastAsiaTheme="minorEastAsia"/>
          <w:sz w:val="24"/>
          <w:szCs w:val="24"/>
        </w:rPr>
        <w:t xml:space="preserve"> significan</w:t>
      </w:r>
      <w:r w:rsidR="00CC6122" w:rsidRPr="003B6C66">
        <w:rPr>
          <w:rFonts w:eastAsiaTheme="minorEastAsia"/>
          <w:sz w:val="24"/>
          <w:szCs w:val="24"/>
        </w:rPr>
        <w:t>ce</w:t>
      </w:r>
      <w:r w:rsidR="008503DA" w:rsidRPr="003B6C66">
        <w:rPr>
          <w:rFonts w:eastAsiaTheme="minorEastAsia"/>
          <w:sz w:val="24"/>
          <w:szCs w:val="24"/>
        </w:rPr>
        <w:t>. Moreover, we perform the following joint significance tests,</w:t>
      </w:r>
    </w:p>
    <w:p w14:paraId="16568208" w14:textId="16629C95" w:rsidR="00F90007" w:rsidRPr="003B6C66" w:rsidRDefault="0062217F" w:rsidP="00F90007">
      <w:pPr>
        <w:jc w:val="both"/>
        <w:rPr>
          <w:rFonts w:eastAsiaTheme="minorEastAsia"/>
          <w:sz w:val="24"/>
          <w:szCs w:val="24"/>
        </w:rPr>
      </w:pPr>
      <m:oMath>
        <m:sSub>
          <m:sSubPr>
            <m:ctrlPr>
              <w:rPr>
                <w:rFonts w:ascii="Cambria Math" w:hAnsi="Cambria Math"/>
                <w:i/>
                <w:sz w:val="24"/>
                <w:szCs w:val="24"/>
                <w:lang w:val="es-CL"/>
              </w:rPr>
            </m:ctrlPr>
          </m:sSubPr>
          <m:e>
            <m:r>
              <w:rPr>
                <w:rFonts w:ascii="Cambria Math" w:hAnsi="Cambria Math"/>
                <w:sz w:val="24"/>
                <w:szCs w:val="24"/>
                <w:lang w:val="es-CL"/>
              </w:rPr>
              <m:t>H</m:t>
            </m:r>
          </m:e>
          <m:sub>
            <m:r>
              <w:rPr>
                <w:rFonts w:ascii="Cambria Math" w:hAnsi="Cambria Math"/>
                <w:sz w:val="24"/>
                <w:szCs w:val="24"/>
              </w:rPr>
              <m:t>0</m:t>
            </m:r>
          </m:sub>
        </m:sSub>
        <m:r>
          <w:rPr>
            <w:rFonts w:ascii="Cambria Math" w:hAnsi="Cambria Math"/>
            <w:sz w:val="24"/>
            <w:szCs w:val="24"/>
          </w:rPr>
          <m:t xml:space="preserve">: </m:t>
        </m:r>
        <m:sSub>
          <m:sSubPr>
            <m:ctrlPr>
              <w:rPr>
                <w:rFonts w:ascii="Cambria Math" w:hAnsi="Cambria Math"/>
                <w:i/>
                <w:sz w:val="24"/>
                <w:szCs w:val="24"/>
                <w:lang w:val="es-CL"/>
              </w:rPr>
            </m:ctrlPr>
          </m:sSubPr>
          <m:e>
            <m:r>
              <w:rPr>
                <w:rFonts w:ascii="Cambria Math" w:hAnsi="Cambria Math"/>
                <w:sz w:val="24"/>
                <w:szCs w:val="24"/>
                <w:lang w:val="es-CL"/>
              </w:rPr>
              <m:t>γ</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lang w:val="es-CL"/>
              </w:rPr>
            </m:ctrlPr>
          </m:sSubPr>
          <m:e>
            <m:r>
              <w:rPr>
                <w:rFonts w:ascii="Cambria Math" w:hAnsi="Cambria Math"/>
                <w:sz w:val="24"/>
                <w:szCs w:val="24"/>
                <w:lang w:val="es-CL"/>
              </w:rPr>
              <m:t>γ</m:t>
            </m:r>
          </m:e>
          <m:sub>
            <m:r>
              <w:rPr>
                <w:rFonts w:ascii="Cambria Math" w:hAnsi="Cambria Math"/>
                <w:sz w:val="24"/>
                <w:szCs w:val="24"/>
                <w:lang w:val="es-CL"/>
              </w:rPr>
              <m:t>i</m:t>
            </m:r>
          </m:sub>
        </m:sSub>
        <m:r>
          <w:rPr>
            <w:rFonts w:ascii="Cambria Math" w:hAnsi="Cambria Math"/>
            <w:sz w:val="24"/>
            <w:szCs w:val="24"/>
          </w:rPr>
          <m:t>=0</m:t>
        </m:r>
      </m:oMath>
      <w:r w:rsidR="00F90007" w:rsidRPr="003B6C66">
        <w:rPr>
          <w:rFonts w:eastAsiaTheme="minorEastAsia"/>
          <w:sz w:val="24"/>
          <w:szCs w:val="24"/>
        </w:rPr>
        <w:t xml:space="preserve">, </w:t>
      </w:r>
      <w:r w:rsidR="0084268A" w:rsidRPr="003B6C66">
        <w:rPr>
          <w:rFonts w:eastAsiaTheme="minorEastAsia"/>
          <w:sz w:val="24"/>
          <w:szCs w:val="24"/>
        </w:rPr>
        <w:t xml:space="preserve"> </w:t>
      </w:r>
      <w:r w:rsidR="0084268A" w:rsidRPr="003B6C66">
        <w:rPr>
          <w:rFonts w:eastAsiaTheme="minorEastAsia"/>
          <w:sz w:val="24"/>
          <w:szCs w:val="24"/>
        </w:rPr>
        <w:tab/>
      </w:r>
      <w:r w:rsidR="00F762E4" w:rsidRPr="003B6C66">
        <w:rPr>
          <w:rFonts w:eastAsiaTheme="minorEastAsia"/>
          <w:sz w:val="24"/>
          <w:szCs w:val="24"/>
        </w:rPr>
        <w:t xml:space="preserve">  </w:t>
      </w:r>
      <w:r w:rsidR="00F90007" w:rsidRPr="003B6C66">
        <w:rPr>
          <w:rFonts w:eastAsiaTheme="minorEastAsia"/>
          <w:sz w:val="24"/>
          <w:szCs w:val="24"/>
        </w:rPr>
        <w:t xml:space="preserve"> </w:t>
      </w:r>
      <m:oMath>
        <m:r>
          <w:rPr>
            <w:rFonts w:ascii="Cambria Math" w:eastAsiaTheme="minorEastAsia" w:hAnsi="Cambria Math"/>
            <w:sz w:val="24"/>
            <w:szCs w:val="24"/>
            <w:lang w:val="es-CL"/>
          </w:rPr>
          <m:t>i</m:t>
        </m:r>
        <m:r>
          <w:rPr>
            <w:rFonts w:ascii="Cambria Math" w:eastAsiaTheme="minorEastAsia" w:hAnsi="Cambria Math"/>
            <w:sz w:val="24"/>
            <w:szCs w:val="24"/>
          </w:rPr>
          <m:t>=1,⋯,6</m:t>
        </m:r>
      </m:oMath>
    </w:p>
    <w:p w14:paraId="68842FDD" w14:textId="730A0ACE" w:rsidR="00944843" w:rsidRPr="003B6C66" w:rsidRDefault="00944843" w:rsidP="000C41C7">
      <w:pPr>
        <w:jc w:val="both"/>
        <w:rPr>
          <w:rFonts w:eastAsiaTheme="minorEastAsia"/>
          <w:sz w:val="24"/>
          <w:szCs w:val="24"/>
        </w:rPr>
      </w:pPr>
      <w:r w:rsidRPr="003B6C66">
        <w:rPr>
          <w:rFonts w:eastAsiaTheme="minorEastAsia"/>
          <w:sz w:val="24"/>
          <w:szCs w:val="24"/>
        </w:rPr>
        <w:t xml:space="preserve">With the results of the TSLS estimation we can reject this hypothesis for </w:t>
      </w:r>
      <m:oMath>
        <m:r>
          <w:rPr>
            <w:rFonts w:ascii="Cambria Math" w:eastAsiaTheme="minorEastAsia" w:hAnsi="Cambria Math"/>
            <w:sz w:val="24"/>
            <w:szCs w:val="24"/>
            <w:lang w:val="es-CL"/>
          </w:rPr>
          <m:t>i</m:t>
        </m:r>
        <m:r>
          <w:rPr>
            <w:rFonts w:ascii="Cambria Math" w:eastAsiaTheme="minorEastAsia" w:hAnsi="Cambria Math"/>
            <w:sz w:val="24"/>
            <w:szCs w:val="24"/>
          </w:rPr>
          <m:t>=3,4</m:t>
        </m:r>
      </m:oMath>
      <w:r w:rsidR="005156D4" w:rsidRPr="003B6C66">
        <w:rPr>
          <w:rFonts w:eastAsiaTheme="minorEastAsia"/>
          <w:sz w:val="24"/>
          <w:szCs w:val="24"/>
        </w:rPr>
        <w:t xml:space="preserve"> </w:t>
      </w:r>
      <w:r w:rsidRPr="003B6C66">
        <w:rPr>
          <w:rFonts w:eastAsiaTheme="minorEastAsia"/>
          <w:sz w:val="24"/>
          <w:szCs w:val="24"/>
        </w:rPr>
        <w:t xml:space="preserve">with 95% confidence. For the estimation with GMM we can reject this hypothesis for </w:t>
      </w:r>
      <m:oMath>
        <m:r>
          <w:rPr>
            <w:rFonts w:ascii="Cambria Math" w:eastAsiaTheme="minorEastAsia" w:hAnsi="Cambria Math"/>
            <w:sz w:val="24"/>
            <w:szCs w:val="24"/>
            <w:lang w:val="es-CL"/>
          </w:rPr>
          <m:t>i</m:t>
        </m:r>
        <m:r>
          <w:rPr>
            <w:rFonts w:ascii="Cambria Math" w:eastAsiaTheme="minorEastAsia" w:hAnsi="Cambria Math"/>
            <w:sz w:val="24"/>
            <w:szCs w:val="24"/>
          </w:rPr>
          <m:t>=4</m:t>
        </m:r>
      </m:oMath>
      <w:r w:rsidR="005156D4" w:rsidRPr="003B6C66">
        <w:rPr>
          <w:rFonts w:eastAsiaTheme="minorEastAsia"/>
          <w:sz w:val="24"/>
          <w:szCs w:val="24"/>
        </w:rPr>
        <w:t xml:space="preserve"> </w:t>
      </w:r>
      <w:r w:rsidRPr="003B6C66">
        <w:rPr>
          <w:rFonts w:eastAsiaTheme="minorEastAsia"/>
          <w:sz w:val="24"/>
          <w:szCs w:val="24"/>
        </w:rPr>
        <w:t xml:space="preserve"> with 95% confidence and for </w:t>
      </w:r>
      <m:oMath>
        <m:r>
          <w:rPr>
            <w:rFonts w:ascii="Cambria Math" w:eastAsiaTheme="minorEastAsia" w:hAnsi="Cambria Math"/>
            <w:sz w:val="24"/>
            <w:szCs w:val="24"/>
            <w:lang w:val="es-CL"/>
          </w:rPr>
          <m:t>i</m:t>
        </m:r>
        <m:r>
          <w:rPr>
            <w:rFonts w:ascii="Cambria Math" w:eastAsiaTheme="minorEastAsia" w:hAnsi="Cambria Math"/>
            <w:sz w:val="24"/>
            <w:szCs w:val="24"/>
          </w:rPr>
          <m:t>=3</m:t>
        </m:r>
      </m:oMath>
      <w:r w:rsidRPr="003B6C66">
        <w:rPr>
          <w:rFonts w:eastAsiaTheme="minorEastAsia"/>
          <w:sz w:val="24"/>
          <w:szCs w:val="24"/>
        </w:rPr>
        <w:t xml:space="preserve"> with 90% confidence. However, we cannot reject it for the other periods.</w:t>
      </w:r>
    </w:p>
    <w:p w14:paraId="58A80C51" w14:textId="435A2696" w:rsidR="006A3D17" w:rsidRPr="003B6C66" w:rsidRDefault="006A3D17" w:rsidP="000C41C7">
      <w:pPr>
        <w:jc w:val="both"/>
        <w:rPr>
          <w:sz w:val="24"/>
          <w:szCs w:val="24"/>
        </w:rPr>
      </w:pPr>
      <w:r w:rsidRPr="003B6C66">
        <w:rPr>
          <w:i/>
          <w:iCs/>
          <w:sz w:val="24"/>
          <w:szCs w:val="24"/>
        </w:rPr>
        <w:t xml:space="preserve">Total effect of demand on inflation. </w:t>
      </w:r>
      <w:r w:rsidRPr="003B6C66">
        <w:rPr>
          <w:sz w:val="24"/>
          <w:szCs w:val="24"/>
        </w:rPr>
        <w:t xml:space="preserve">The total effect of demand is calculated using the parameters estimated by TSLS. This consists of the partial effect of demand on inflation, given the exchange rate, which is obtained directly from the demand parameters estimated in the second stage of TSLS (Table 1). Additionally, there is </w:t>
      </w:r>
      <w:r w:rsidR="00C8349C">
        <w:rPr>
          <w:sz w:val="24"/>
          <w:szCs w:val="24"/>
        </w:rPr>
        <w:t>the</w:t>
      </w:r>
      <w:r w:rsidRPr="003B6C66">
        <w:rPr>
          <w:sz w:val="24"/>
          <w:szCs w:val="24"/>
        </w:rPr>
        <w:t xml:space="preserve"> indirect effect of demand on the exchange rate, which is obtained using the parameters estimated in the first stage of the TSLS. Therefore, the total effect of demand in period</w:t>
      </w:r>
      <m:oMath>
        <m:r>
          <w:rPr>
            <w:rFonts w:ascii="Cambria Math" w:hAnsi="Cambria Math"/>
            <w:sz w:val="24"/>
            <w:szCs w:val="24"/>
          </w:rPr>
          <m:t xml:space="preserve"> </m:t>
        </m:r>
        <m:r>
          <w:rPr>
            <w:rFonts w:ascii="Cambria Math" w:hAnsi="Cambria Math"/>
            <w:sz w:val="24"/>
            <w:szCs w:val="24"/>
            <w:lang w:val="es-CL"/>
          </w:rPr>
          <m:t>i</m:t>
        </m:r>
      </m:oMath>
      <w:r w:rsidRPr="003B6C66">
        <w:rPr>
          <w:sz w:val="24"/>
          <w:szCs w:val="24"/>
        </w:rPr>
        <w:t xml:space="preserve"> on inflation is,</w:t>
      </w:r>
    </w:p>
    <w:p w14:paraId="2663B61E" w14:textId="7B98D13F" w:rsidR="007F75DC" w:rsidRPr="003B6C66" w:rsidRDefault="0062217F" w:rsidP="000C41C7">
      <w:pPr>
        <w:jc w:val="both"/>
        <w:rPr>
          <w:rFonts w:eastAsiaTheme="minorEastAsia"/>
          <w:sz w:val="24"/>
          <w:szCs w:val="24"/>
        </w:rPr>
      </w:pPr>
      <m:oMath>
        <m:sSub>
          <m:sSubPr>
            <m:ctrlPr>
              <w:rPr>
                <w:rFonts w:ascii="Cambria Math" w:eastAsiaTheme="minorEastAsia" w:hAnsi="Cambria Math"/>
                <w:i/>
                <w:sz w:val="24"/>
                <w:szCs w:val="24"/>
                <w:lang w:val="es-CL"/>
              </w:rPr>
            </m:ctrlPr>
          </m:sSubPr>
          <m:e>
            <w:bookmarkStart w:id="6" w:name="_Hlk96794043"/>
            <m:r>
              <w:rPr>
                <w:rFonts w:ascii="Cambria Math" w:eastAsiaTheme="minorEastAsia" w:hAnsi="Cambria Math"/>
                <w:sz w:val="24"/>
                <w:szCs w:val="24"/>
              </w:rPr>
              <m:t>∆</m:t>
            </m:r>
            <m:r>
              <w:rPr>
                <w:rFonts w:ascii="Cambria Math" w:eastAsiaTheme="minorEastAsia" w:hAnsi="Cambria Math"/>
                <w:sz w:val="24"/>
                <w:szCs w:val="24"/>
                <w:lang w:val="es-CL"/>
              </w:rPr>
              <m:t>Inf</m:t>
            </m:r>
            <w:bookmarkEnd w:id="6"/>
          </m:e>
          <m:sub>
            <m:r>
              <w:rPr>
                <w:rFonts w:ascii="Cambria Math" w:eastAsiaTheme="minorEastAsia" w:hAnsi="Cambria Math"/>
                <w:sz w:val="24"/>
                <w:szCs w:val="24"/>
                <w:lang w:val="es-CL"/>
              </w:rPr>
              <m:t>i</m:t>
            </m:r>
          </m:sub>
        </m:sSub>
        <m:r>
          <w:rPr>
            <w:rFonts w:ascii="Cambria Math" w:eastAsiaTheme="minorEastAsia" w:hAnsi="Cambria Math"/>
            <w:sz w:val="24"/>
            <w:szCs w:val="24"/>
          </w:rPr>
          <m:t>=</m:t>
        </m:r>
      </m:oMath>
      <w:r w:rsidR="00D77D7C" w:rsidRPr="003B6C66">
        <w:rPr>
          <w:rFonts w:eastAsiaTheme="minorEastAsia"/>
          <w:sz w:val="24"/>
          <w:szCs w:val="24"/>
        </w:rPr>
        <w:t xml:space="preserve">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γ</m:t>
            </m:r>
          </m:e>
          <m:sub>
            <m:r>
              <w:rPr>
                <w:rFonts w:ascii="Cambria Math" w:eastAsiaTheme="minorEastAsia" w:hAnsi="Cambria Math"/>
                <w:sz w:val="24"/>
                <w:szCs w:val="24"/>
              </w:rPr>
              <m:t>0</m:t>
            </m:r>
          </m:sub>
        </m:sSub>
        <m:r>
          <w:rPr>
            <w:rFonts w:ascii="Cambria Math" w:eastAsiaTheme="minorEastAsia" w:hAnsi="Cambria Math"/>
            <w:sz w:val="24"/>
            <w:szCs w:val="24"/>
          </w:rPr>
          <m:t>+</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γ</m:t>
            </m:r>
          </m:e>
          <m:sub>
            <m:r>
              <w:rPr>
                <w:rFonts w:ascii="Cambria Math" w:eastAsiaTheme="minorEastAsia" w:hAnsi="Cambria Math"/>
                <w:sz w:val="24"/>
                <w:szCs w:val="24"/>
                <w:lang w:val="es-CL"/>
              </w:rPr>
              <m:t>i</m:t>
            </m:r>
          </m:sub>
        </m:sSub>
        <m:r>
          <w:rPr>
            <w:rFonts w:ascii="Cambria Math" w:eastAsiaTheme="minorEastAsia" w:hAnsi="Cambria Math"/>
            <w:sz w:val="24"/>
            <w:szCs w:val="24"/>
          </w:rPr>
          <m:t>+</m:t>
        </m:r>
        <m:r>
          <w:rPr>
            <w:rFonts w:ascii="Cambria Math" w:eastAsiaTheme="minorEastAsia" w:hAnsi="Cambria Math"/>
            <w:sz w:val="24"/>
            <w:szCs w:val="24"/>
            <w:lang w:val="es-CL"/>
          </w:rPr>
          <m:t>β</m:t>
        </m:r>
        <m:r>
          <w:rPr>
            <w:rFonts w:ascii="Cambria Math" w:eastAsiaTheme="minorEastAsia" w:hAnsi="Cambria Math"/>
            <w:sz w:val="24"/>
            <w:szCs w:val="24"/>
          </w:rPr>
          <m:t>(</m:t>
        </m:r>
        <w:bookmarkStart w:id="7" w:name="_Hlk96793740"/>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ε</m:t>
            </m:r>
          </m:e>
          <m:sub>
            <m:r>
              <w:rPr>
                <w:rFonts w:ascii="Cambria Math" w:eastAsiaTheme="minorEastAsia" w:hAnsi="Cambria Math"/>
                <w:sz w:val="24"/>
                <w:szCs w:val="24"/>
              </w:rPr>
              <m:t>0</m:t>
            </m:r>
          </m:sub>
        </m:sSub>
        <m:r>
          <w:rPr>
            <w:rFonts w:ascii="Cambria Math" w:eastAsiaTheme="minorEastAsia" w:hAnsi="Cambria Math"/>
            <w:sz w:val="24"/>
            <w:szCs w:val="24"/>
          </w:rPr>
          <m:t>+</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ε</m:t>
            </m:r>
          </m:e>
          <m:sub>
            <m:r>
              <w:rPr>
                <w:rFonts w:ascii="Cambria Math" w:eastAsiaTheme="minorEastAsia" w:hAnsi="Cambria Math"/>
                <w:sz w:val="24"/>
                <w:szCs w:val="24"/>
                <w:lang w:val="es-CL"/>
              </w:rPr>
              <m:t>i</m:t>
            </m:r>
          </m:sub>
        </m:sSub>
        <w:bookmarkEnd w:id="7"/>
        <m:r>
          <w:rPr>
            <w:rFonts w:ascii="Cambria Math" w:eastAsiaTheme="minorEastAsia" w:hAnsi="Cambria Math"/>
            <w:sz w:val="24"/>
            <w:szCs w:val="24"/>
          </w:rPr>
          <m:t>)</m:t>
        </m:r>
      </m:oMath>
      <w:r w:rsidR="00C46DC7" w:rsidRPr="003B6C66">
        <w:rPr>
          <w:rFonts w:eastAsiaTheme="minorEastAsia"/>
          <w:sz w:val="24"/>
          <w:szCs w:val="24"/>
        </w:rPr>
        <w:t xml:space="preserve">                             (4)</w:t>
      </w:r>
    </w:p>
    <w:p w14:paraId="0FF0DDDD" w14:textId="38EE12E7" w:rsidR="00795059" w:rsidRDefault="00795059" w:rsidP="000C41C7">
      <w:pPr>
        <w:jc w:val="both"/>
        <w:rPr>
          <w:rFonts w:eastAsiaTheme="minorEastAsia"/>
          <w:sz w:val="24"/>
          <w:szCs w:val="24"/>
        </w:rPr>
      </w:pPr>
      <w:r w:rsidRPr="003B6C66">
        <w:rPr>
          <w:rFonts w:eastAsiaTheme="minorEastAsia"/>
          <w:sz w:val="24"/>
          <w:szCs w:val="24"/>
        </w:rPr>
        <w:t xml:space="preserve">Where </w:t>
      </w:r>
      <m:oMath>
        <m:r>
          <w:rPr>
            <w:rFonts w:ascii="Cambria Math" w:eastAsiaTheme="minorEastAsia" w:hAnsi="Cambria Math"/>
            <w:sz w:val="24"/>
            <w:szCs w:val="24"/>
          </w:rPr>
          <m:t>∆</m:t>
        </m:r>
        <m:r>
          <w:rPr>
            <w:rFonts w:ascii="Cambria Math" w:eastAsiaTheme="minorEastAsia" w:hAnsi="Cambria Math"/>
            <w:sz w:val="24"/>
            <w:szCs w:val="24"/>
            <w:lang w:val="es-CL"/>
          </w:rPr>
          <m:t>In</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f</m:t>
            </m:r>
          </m:e>
          <m:sub>
            <m:r>
              <w:rPr>
                <w:rFonts w:ascii="Cambria Math" w:eastAsiaTheme="minorEastAsia" w:hAnsi="Cambria Math"/>
                <w:sz w:val="24"/>
                <w:szCs w:val="24"/>
                <w:lang w:val="es-CL"/>
              </w:rPr>
              <m:t>i</m:t>
            </m:r>
          </m:sub>
        </m:sSub>
      </m:oMath>
      <w:r w:rsidRPr="003B6C66">
        <w:rPr>
          <w:rFonts w:eastAsiaTheme="minorEastAsia"/>
          <w:sz w:val="24"/>
          <w:szCs w:val="24"/>
        </w:rPr>
        <w:t xml:space="preserve"> is the total effect o</w:t>
      </w:r>
      <w:r w:rsidR="00A13421" w:rsidRPr="003B6C66">
        <w:rPr>
          <w:rFonts w:eastAsiaTheme="minorEastAsia"/>
          <w:sz w:val="24"/>
          <w:szCs w:val="24"/>
        </w:rPr>
        <w:t>n i</w:t>
      </w:r>
      <w:r w:rsidRPr="003B6C66">
        <w:rPr>
          <w:rFonts w:eastAsiaTheme="minorEastAsia"/>
          <w:sz w:val="24"/>
          <w:szCs w:val="24"/>
        </w:rPr>
        <w:t xml:space="preserve">nflation caused by the increase in demand in period </w:t>
      </w:r>
      <m:oMath>
        <m:r>
          <w:rPr>
            <w:rFonts w:ascii="Cambria Math" w:eastAsiaTheme="minorEastAsia" w:hAnsi="Cambria Math"/>
            <w:sz w:val="24"/>
            <w:szCs w:val="24"/>
            <w:lang w:val="es-CL"/>
          </w:rPr>
          <m:t>i</m:t>
        </m:r>
      </m:oMath>
      <w:r w:rsidR="00621C53" w:rsidRPr="003B6C66">
        <w:rPr>
          <w:rFonts w:eastAsiaTheme="minorEastAsia"/>
          <w:sz w:val="24"/>
          <w:szCs w:val="24"/>
        </w:rPr>
        <w:t xml:space="preserve">, </w:t>
      </w:r>
      <m:oMath>
        <m:r>
          <w:rPr>
            <w:rFonts w:ascii="Cambria Math" w:eastAsiaTheme="minorEastAsia" w:hAnsi="Cambria Math"/>
            <w:sz w:val="24"/>
            <w:szCs w:val="24"/>
            <w:lang w:val="es-CL"/>
          </w:rPr>
          <m:t>β</m:t>
        </m:r>
      </m:oMath>
      <w:r w:rsidR="00621C53" w:rsidRPr="003B6C66">
        <w:rPr>
          <w:rFonts w:eastAsiaTheme="minorEastAsia"/>
          <w:sz w:val="24"/>
          <w:szCs w:val="24"/>
        </w:rPr>
        <w:t xml:space="preserve"> </w:t>
      </w:r>
      <w:r w:rsidRPr="003B6C66">
        <w:rPr>
          <w:rFonts w:eastAsiaTheme="minorEastAsia"/>
          <w:sz w:val="24"/>
          <w:szCs w:val="24"/>
        </w:rPr>
        <w:t xml:space="preserve">is the parameter of the second stage that measures the impact of the exchange rate on inflation and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ε</m:t>
            </m:r>
          </m:e>
          <m:sub>
            <m:r>
              <w:rPr>
                <w:rFonts w:ascii="Cambria Math" w:eastAsiaTheme="minorEastAsia" w:hAnsi="Cambria Math"/>
                <w:sz w:val="24"/>
                <w:szCs w:val="24"/>
              </w:rPr>
              <m:t>0</m:t>
            </m:r>
          </m:sub>
        </m:sSub>
        <m:r>
          <w:rPr>
            <w:rFonts w:ascii="Cambria Math" w:eastAsiaTheme="minorEastAsia" w:hAnsi="Cambria Math"/>
            <w:sz w:val="24"/>
            <w:szCs w:val="24"/>
          </w:rPr>
          <m:t>+</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ε</m:t>
            </m:r>
          </m:e>
          <m:sub>
            <m:r>
              <w:rPr>
                <w:rFonts w:ascii="Cambria Math" w:eastAsiaTheme="minorEastAsia" w:hAnsi="Cambria Math"/>
                <w:sz w:val="24"/>
                <w:szCs w:val="24"/>
                <w:lang w:val="es-CL"/>
              </w:rPr>
              <m:t>i</m:t>
            </m:r>
          </m:sub>
        </m:sSub>
      </m:oMath>
      <w:r w:rsidRPr="003B6C66">
        <w:rPr>
          <w:rFonts w:eastAsiaTheme="minorEastAsia"/>
          <w:sz w:val="24"/>
          <w:szCs w:val="24"/>
        </w:rPr>
        <w:t xml:space="preserve"> is the effect of demand in period </w:t>
      </w:r>
      <m:oMath>
        <m:r>
          <w:rPr>
            <w:rFonts w:ascii="Cambria Math" w:eastAsiaTheme="minorEastAsia" w:hAnsi="Cambria Math"/>
            <w:sz w:val="24"/>
            <w:szCs w:val="24"/>
            <w:lang w:val="es-CL"/>
          </w:rPr>
          <m:t>i</m:t>
        </m:r>
      </m:oMath>
      <w:r w:rsidRPr="003B6C66">
        <w:rPr>
          <w:rFonts w:eastAsiaTheme="minorEastAsia"/>
          <w:sz w:val="24"/>
          <w:szCs w:val="24"/>
        </w:rPr>
        <w:t xml:space="preserve"> on the exchange rate that is obtained from the estimation of the equation of the first stage shown in Table 2. To calculate the standard error of equation (4) we use the </w:t>
      </w:r>
      <w:r w:rsidR="003A3435" w:rsidRPr="003B6C66">
        <w:rPr>
          <w:rFonts w:eastAsiaTheme="minorEastAsia"/>
          <w:sz w:val="24"/>
          <w:szCs w:val="24"/>
        </w:rPr>
        <w:t>T</w:t>
      </w:r>
      <w:r w:rsidRPr="003B6C66">
        <w:rPr>
          <w:rFonts w:eastAsiaTheme="minorEastAsia"/>
          <w:sz w:val="24"/>
          <w:szCs w:val="24"/>
        </w:rPr>
        <w:t>SL</w:t>
      </w:r>
      <w:r w:rsidR="003A3435" w:rsidRPr="003B6C66">
        <w:rPr>
          <w:rFonts w:eastAsiaTheme="minorEastAsia"/>
          <w:sz w:val="24"/>
          <w:szCs w:val="24"/>
        </w:rPr>
        <w:t>S</w:t>
      </w:r>
      <w:r w:rsidRPr="003B6C66">
        <w:rPr>
          <w:rFonts w:eastAsiaTheme="minorEastAsia"/>
          <w:sz w:val="24"/>
          <w:szCs w:val="24"/>
        </w:rPr>
        <w:t xml:space="preserve"> estimators</w:t>
      </w:r>
      <w:r w:rsidR="00F00582">
        <w:rPr>
          <w:rFonts w:eastAsiaTheme="minorEastAsia"/>
          <w:sz w:val="24"/>
          <w:szCs w:val="24"/>
        </w:rPr>
        <w:t>. However,</w:t>
      </w:r>
      <w:r w:rsidRPr="003B6C66">
        <w:rPr>
          <w:rFonts w:eastAsiaTheme="minorEastAsia"/>
          <w:sz w:val="24"/>
          <w:szCs w:val="24"/>
        </w:rPr>
        <w:t xml:space="preserve"> a disadvantage </w:t>
      </w:r>
      <w:r w:rsidR="00F00582">
        <w:rPr>
          <w:rFonts w:eastAsiaTheme="minorEastAsia"/>
          <w:sz w:val="24"/>
          <w:szCs w:val="24"/>
        </w:rPr>
        <w:t xml:space="preserve">of doing this </w:t>
      </w:r>
      <w:r w:rsidRPr="003B6C66">
        <w:rPr>
          <w:rFonts w:eastAsiaTheme="minorEastAsia"/>
          <w:sz w:val="24"/>
          <w:szCs w:val="24"/>
        </w:rPr>
        <w:t>is that this method imposes zero values ​​for the covariances between the estimated parameters in separate equations. For this reason we have also estimated the model using</w:t>
      </w:r>
      <w:r w:rsidR="006D52C6" w:rsidRPr="003B6C66">
        <w:rPr>
          <w:rFonts w:eastAsiaTheme="minorEastAsia"/>
          <w:sz w:val="24"/>
          <w:szCs w:val="24"/>
        </w:rPr>
        <w:t xml:space="preserve"> Three Stage Least Squares (</w:t>
      </w:r>
      <w:r w:rsidRPr="003B6C66">
        <w:rPr>
          <w:rFonts w:eastAsiaTheme="minorEastAsia"/>
          <w:sz w:val="24"/>
          <w:szCs w:val="24"/>
        </w:rPr>
        <w:t>not shown in the tables) which does allow us to derive the covariances between different equations.</w:t>
      </w:r>
    </w:p>
    <w:p w14:paraId="2057FF49" w14:textId="6AE9656A" w:rsidR="009A56F1" w:rsidRDefault="009A56F1" w:rsidP="000C41C7">
      <w:pPr>
        <w:jc w:val="both"/>
        <w:rPr>
          <w:rFonts w:eastAsiaTheme="minorEastAsia"/>
          <w:sz w:val="24"/>
          <w:szCs w:val="24"/>
        </w:rPr>
      </w:pPr>
    </w:p>
    <w:p w14:paraId="16E481CE" w14:textId="57547DB2" w:rsidR="009A56F1" w:rsidRDefault="009A56F1" w:rsidP="000C41C7">
      <w:pPr>
        <w:jc w:val="both"/>
        <w:rPr>
          <w:rFonts w:eastAsiaTheme="minorEastAsia"/>
          <w:sz w:val="24"/>
          <w:szCs w:val="24"/>
        </w:rPr>
      </w:pPr>
    </w:p>
    <w:p w14:paraId="5F6708E7" w14:textId="77777777" w:rsidR="009A56F1" w:rsidRPr="003B6C66" w:rsidRDefault="009A56F1" w:rsidP="000C41C7">
      <w:pPr>
        <w:jc w:val="both"/>
        <w:rPr>
          <w:rFonts w:eastAsiaTheme="minorEastAsia"/>
          <w:sz w:val="24"/>
          <w:szCs w:val="24"/>
        </w:rPr>
      </w:pPr>
    </w:p>
    <w:p w14:paraId="37D6176F" w14:textId="77777777" w:rsidR="00E64FF0" w:rsidRPr="003B6C66" w:rsidRDefault="00E64FF0" w:rsidP="00E64FF0">
      <w:pPr>
        <w:jc w:val="both"/>
        <w:rPr>
          <w:rFonts w:eastAsiaTheme="minorEastAsia"/>
          <w:b/>
          <w:bCs/>
          <w:sz w:val="24"/>
          <w:szCs w:val="24"/>
        </w:rPr>
      </w:pPr>
      <w:r w:rsidRPr="003B6C66">
        <w:rPr>
          <w:rFonts w:eastAsiaTheme="minorEastAsia"/>
          <w:b/>
          <w:bCs/>
          <w:sz w:val="24"/>
          <w:szCs w:val="24"/>
        </w:rPr>
        <w:lastRenderedPageBreak/>
        <w:t>Table 4. Total effect of domestic demand on inflation and p-values ​​corresponding to the null hypothesis that the respective coefficients are equal to zero</w:t>
      </w:r>
    </w:p>
    <w:tbl>
      <w:tblPr>
        <w:tblW w:w="9185" w:type="dxa"/>
        <w:tblCellMar>
          <w:left w:w="70" w:type="dxa"/>
          <w:right w:w="70" w:type="dxa"/>
        </w:tblCellMar>
        <w:tblLook w:val="04A0" w:firstRow="1" w:lastRow="0" w:firstColumn="1" w:lastColumn="0" w:noHBand="0" w:noVBand="1"/>
      </w:tblPr>
      <w:tblGrid>
        <w:gridCol w:w="1155"/>
        <w:gridCol w:w="1174"/>
        <w:gridCol w:w="1313"/>
        <w:gridCol w:w="1313"/>
        <w:gridCol w:w="1458"/>
        <w:gridCol w:w="1313"/>
        <w:gridCol w:w="1459"/>
      </w:tblGrid>
      <w:tr w:rsidR="00590FE5" w14:paraId="244971CE" w14:textId="77777777" w:rsidTr="00057631">
        <w:trPr>
          <w:trHeight w:val="363"/>
        </w:trPr>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67F2AD" w14:textId="77777777" w:rsidR="00590FE5" w:rsidRPr="003B6C66" w:rsidRDefault="00590FE5">
            <w:pPr>
              <w:spacing w:after="0" w:line="240" w:lineRule="auto"/>
              <w:rPr>
                <w:rFonts w:ascii="Calibri" w:eastAsia="Calibri" w:hAnsi="Calibri" w:cs="Times New Roman"/>
                <w:b/>
                <w:sz w:val="24"/>
                <w:szCs w:val="24"/>
              </w:rPr>
            </w:pPr>
          </w:p>
        </w:tc>
        <w:tc>
          <w:tcPr>
            <w:tcW w:w="91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08D5A53A" w14:textId="77777777" w:rsidR="00590FE5" w:rsidRDefault="00590FE5">
            <w:pPr>
              <w:spacing w:after="0" w:line="240" w:lineRule="auto"/>
              <w:rPr>
                <w:rFonts w:ascii="Calibri" w:eastAsia="Times New Roman" w:hAnsi="Calibri" w:cs="Calibri"/>
                <w:b/>
                <w:bCs/>
                <w:i/>
                <w:color w:val="000000"/>
                <w:sz w:val="24"/>
                <w:szCs w:val="24"/>
                <w:lang w:val="es-CL" w:eastAsia="es-CL"/>
              </w:rPr>
            </w:pPr>
            <m:oMathPara>
              <m:oMath>
                <m:r>
                  <m:rPr>
                    <m:sty m:val="bi"/>
                  </m:rPr>
                  <w:rPr>
                    <w:rFonts w:ascii="Cambria Math" w:eastAsiaTheme="minorEastAsia" w:hAnsi="Cambria Math"/>
                    <w:sz w:val="24"/>
                    <w:szCs w:val="24"/>
                    <w:lang w:val="es-CL"/>
                  </w:rPr>
                  <m:t>i=1</m:t>
                </m:r>
              </m:oMath>
            </m:oMathPara>
          </w:p>
        </w:tc>
        <w:tc>
          <w:tcPr>
            <w:tcW w:w="1313"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07305566" w14:textId="77777777" w:rsidR="00590FE5" w:rsidRDefault="00590FE5">
            <w:pPr>
              <w:spacing w:after="0" w:line="240" w:lineRule="auto"/>
              <w:rPr>
                <w:rFonts w:ascii="Calibri" w:eastAsia="Times New Roman" w:hAnsi="Calibri" w:cs="Calibri"/>
                <w:b/>
                <w:bCs/>
                <w:i/>
                <w:color w:val="000000"/>
                <w:sz w:val="24"/>
                <w:szCs w:val="24"/>
                <w:lang w:val="es-CL" w:eastAsia="es-CL"/>
              </w:rPr>
            </w:pPr>
            <m:oMathPara>
              <m:oMath>
                <m:r>
                  <m:rPr>
                    <m:sty m:val="bi"/>
                  </m:rPr>
                  <w:rPr>
                    <w:rFonts w:ascii="Cambria Math" w:eastAsiaTheme="minorEastAsia" w:hAnsi="Cambria Math"/>
                    <w:sz w:val="24"/>
                    <w:szCs w:val="24"/>
                    <w:lang w:val="es-CL"/>
                  </w:rPr>
                  <m:t>i=2</m:t>
                </m:r>
              </m:oMath>
            </m:oMathPara>
          </w:p>
        </w:tc>
        <w:tc>
          <w:tcPr>
            <w:tcW w:w="1313"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6448EDCA" w14:textId="77777777" w:rsidR="00590FE5" w:rsidRDefault="00590FE5">
            <w:pPr>
              <w:spacing w:after="0" w:line="240" w:lineRule="auto"/>
              <w:rPr>
                <w:rFonts w:ascii="Calibri" w:eastAsia="Times New Roman" w:hAnsi="Calibri" w:cs="Calibri"/>
                <w:b/>
                <w:bCs/>
                <w:i/>
                <w:color w:val="000000"/>
                <w:sz w:val="24"/>
                <w:szCs w:val="24"/>
                <w:lang w:val="es-CL" w:eastAsia="es-CL"/>
              </w:rPr>
            </w:pPr>
            <m:oMathPara>
              <m:oMath>
                <m:r>
                  <m:rPr>
                    <m:sty m:val="bi"/>
                  </m:rPr>
                  <w:rPr>
                    <w:rFonts w:ascii="Cambria Math" w:eastAsiaTheme="minorEastAsia" w:hAnsi="Cambria Math"/>
                    <w:sz w:val="24"/>
                    <w:szCs w:val="24"/>
                    <w:lang w:val="es-CL"/>
                  </w:rPr>
                  <m:t>i=3</m:t>
                </m:r>
              </m:oMath>
            </m:oMathPara>
          </w:p>
        </w:tc>
        <w:tc>
          <w:tcPr>
            <w:tcW w:w="1458"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5CD74003" w14:textId="77777777" w:rsidR="00590FE5" w:rsidRDefault="00590FE5">
            <w:pPr>
              <w:spacing w:after="0" w:line="240" w:lineRule="auto"/>
              <w:rPr>
                <w:rFonts w:ascii="Calibri" w:eastAsia="Times New Roman" w:hAnsi="Calibri" w:cs="Calibri"/>
                <w:b/>
                <w:bCs/>
                <w:i/>
                <w:color w:val="000000"/>
                <w:sz w:val="24"/>
                <w:szCs w:val="24"/>
                <w:lang w:val="es-CL" w:eastAsia="es-CL"/>
              </w:rPr>
            </w:pPr>
            <m:oMathPara>
              <m:oMath>
                <m:r>
                  <m:rPr>
                    <m:sty m:val="bi"/>
                  </m:rPr>
                  <w:rPr>
                    <w:rFonts w:ascii="Cambria Math" w:eastAsiaTheme="minorEastAsia" w:hAnsi="Cambria Math"/>
                    <w:sz w:val="24"/>
                    <w:szCs w:val="24"/>
                    <w:lang w:val="es-CL"/>
                  </w:rPr>
                  <m:t>i=4</m:t>
                </m:r>
              </m:oMath>
            </m:oMathPara>
          </w:p>
        </w:tc>
        <w:tc>
          <w:tcPr>
            <w:tcW w:w="1313"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48BFA6EE" w14:textId="77777777" w:rsidR="00590FE5" w:rsidRDefault="00590FE5">
            <w:pPr>
              <w:spacing w:after="0" w:line="240" w:lineRule="auto"/>
              <w:rPr>
                <w:rFonts w:ascii="Calibri" w:eastAsia="Times New Roman" w:hAnsi="Calibri" w:cs="Calibri"/>
                <w:b/>
                <w:bCs/>
                <w:i/>
                <w:color w:val="000000"/>
                <w:sz w:val="24"/>
                <w:szCs w:val="24"/>
                <w:lang w:val="es-CL" w:eastAsia="es-CL"/>
              </w:rPr>
            </w:pPr>
            <m:oMathPara>
              <m:oMath>
                <m:r>
                  <m:rPr>
                    <m:sty m:val="bi"/>
                  </m:rPr>
                  <w:rPr>
                    <w:rFonts w:ascii="Cambria Math" w:eastAsiaTheme="minorEastAsia" w:hAnsi="Cambria Math"/>
                    <w:sz w:val="24"/>
                    <w:szCs w:val="24"/>
                    <w:lang w:val="es-CL"/>
                  </w:rPr>
                  <m:t>i=5</m:t>
                </m:r>
              </m:oMath>
            </m:oMathPara>
          </w:p>
        </w:tc>
        <w:tc>
          <w:tcPr>
            <w:tcW w:w="1459"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7B73CB41" w14:textId="77777777" w:rsidR="00590FE5" w:rsidRDefault="00590FE5">
            <w:pPr>
              <w:spacing w:after="0" w:line="240" w:lineRule="auto"/>
              <w:rPr>
                <w:rFonts w:ascii="Calibri" w:eastAsia="Times New Roman" w:hAnsi="Calibri" w:cs="Calibri"/>
                <w:b/>
                <w:bCs/>
                <w:i/>
                <w:color w:val="000000"/>
                <w:sz w:val="24"/>
                <w:szCs w:val="24"/>
                <w:lang w:val="es-CL" w:eastAsia="es-CL"/>
              </w:rPr>
            </w:pPr>
            <m:oMathPara>
              <m:oMath>
                <m:r>
                  <m:rPr>
                    <m:sty m:val="bi"/>
                  </m:rPr>
                  <w:rPr>
                    <w:rFonts w:ascii="Cambria Math" w:eastAsiaTheme="minorEastAsia" w:hAnsi="Cambria Math"/>
                    <w:sz w:val="24"/>
                    <w:szCs w:val="24"/>
                    <w:lang w:val="es-CL"/>
                  </w:rPr>
                  <m:t>i=6</m:t>
                </m:r>
              </m:oMath>
            </m:oMathPara>
          </w:p>
        </w:tc>
      </w:tr>
      <w:tr w:rsidR="00590FE5" w14:paraId="7E847EF3" w14:textId="77777777" w:rsidTr="00057631">
        <w:trPr>
          <w:trHeight w:val="363"/>
        </w:trPr>
        <w:tc>
          <w:tcPr>
            <w:tcW w:w="1413" w:type="dxa"/>
            <w:tcBorders>
              <w:top w:val="nil"/>
              <w:left w:val="single" w:sz="4" w:space="0" w:color="auto"/>
              <w:bottom w:val="single" w:sz="4" w:space="0" w:color="auto"/>
              <w:right w:val="single" w:sz="4" w:space="0" w:color="auto"/>
            </w:tcBorders>
            <w:hideMark/>
          </w:tcPr>
          <w:p w14:paraId="309FA29C" w14:textId="77777777" w:rsidR="00590FE5" w:rsidRDefault="00590FE5">
            <w:pPr>
              <w:spacing w:after="0" w:line="240" w:lineRule="auto"/>
              <w:jc w:val="right"/>
              <w:rPr>
                <w:rFonts w:ascii="Calibri" w:eastAsia="Times New Roman" w:hAnsi="Calibri" w:cs="Calibri"/>
                <w:b/>
                <w:bCs/>
                <w:color w:val="000000"/>
                <w:sz w:val="24"/>
                <w:szCs w:val="24"/>
                <w:lang w:val="es-CL" w:eastAsia="es-CL"/>
              </w:rPr>
            </w:pPr>
            <w:r>
              <w:rPr>
                <w:rFonts w:ascii="Calibri" w:eastAsia="Times New Roman" w:hAnsi="Calibri" w:cs="Calibri"/>
                <w:b/>
                <w:bCs/>
                <w:color w:val="000000"/>
                <w:sz w:val="24"/>
                <w:szCs w:val="24"/>
                <w:lang w:val="es-CL" w:eastAsia="es-CL"/>
              </w:rPr>
              <w:t>Coef.</w:t>
            </w:r>
          </w:p>
        </w:tc>
        <w:tc>
          <w:tcPr>
            <w:tcW w:w="916" w:type="dxa"/>
            <w:tcBorders>
              <w:top w:val="nil"/>
              <w:left w:val="single" w:sz="4" w:space="0" w:color="auto"/>
              <w:bottom w:val="single" w:sz="4" w:space="0" w:color="auto"/>
              <w:right w:val="single" w:sz="4" w:space="0" w:color="auto"/>
            </w:tcBorders>
            <w:noWrap/>
            <w:vAlign w:val="bottom"/>
            <w:hideMark/>
          </w:tcPr>
          <w:p w14:paraId="772E0C0A" w14:textId="77777777" w:rsidR="00590FE5" w:rsidRDefault="00590FE5">
            <w:pPr>
              <w:spacing w:after="0" w:line="240" w:lineRule="auto"/>
              <w:jc w:val="right"/>
              <w:rPr>
                <w:rFonts w:ascii="Calibri" w:eastAsia="Times New Roman" w:hAnsi="Calibri" w:cs="Calibri"/>
                <w:color w:val="000000"/>
                <w:sz w:val="24"/>
                <w:szCs w:val="24"/>
                <w:lang w:val="es-CL" w:eastAsia="es-CL"/>
              </w:rPr>
            </w:pPr>
            <w:r>
              <w:rPr>
                <w:rFonts w:ascii="Calibri" w:eastAsia="Times New Roman" w:hAnsi="Calibri" w:cs="Calibri"/>
                <w:color w:val="000000"/>
                <w:sz w:val="24"/>
                <w:szCs w:val="24"/>
                <w:lang w:val="es-CL" w:eastAsia="es-CL"/>
              </w:rPr>
              <w:t>0.0003064</w:t>
            </w:r>
          </w:p>
        </w:tc>
        <w:tc>
          <w:tcPr>
            <w:tcW w:w="1313" w:type="dxa"/>
            <w:tcBorders>
              <w:top w:val="nil"/>
              <w:left w:val="nil"/>
              <w:bottom w:val="single" w:sz="4" w:space="0" w:color="auto"/>
              <w:right w:val="single" w:sz="4" w:space="0" w:color="auto"/>
            </w:tcBorders>
            <w:noWrap/>
            <w:vAlign w:val="bottom"/>
            <w:hideMark/>
          </w:tcPr>
          <w:p w14:paraId="3C90E5E0" w14:textId="77777777" w:rsidR="00590FE5" w:rsidRDefault="00590FE5">
            <w:pPr>
              <w:spacing w:after="0" w:line="240" w:lineRule="auto"/>
              <w:jc w:val="right"/>
              <w:rPr>
                <w:rFonts w:ascii="Calibri" w:eastAsia="Times New Roman" w:hAnsi="Calibri" w:cs="Calibri"/>
                <w:color w:val="000000"/>
                <w:sz w:val="24"/>
                <w:szCs w:val="24"/>
                <w:lang w:val="es-CL" w:eastAsia="es-CL"/>
              </w:rPr>
            </w:pPr>
            <w:r>
              <w:rPr>
                <w:rFonts w:ascii="Calibri" w:eastAsia="Times New Roman" w:hAnsi="Calibri" w:cs="Calibri"/>
                <w:color w:val="000000"/>
                <w:sz w:val="24"/>
                <w:szCs w:val="24"/>
                <w:lang w:val="es-CL" w:eastAsia="es-CL"/>
              </w:rPr>
              <w:t>-0.0005773</w:t>
            </w:r>
          </w:p>
        </w:tc>
        <w:tc>
          <w:tcPr>
            <w:tcW w:w="1313" w:type="dxa"/>
            <w:tcBorders>
              <w:top w:val="nil"/>
              <w:left w:val="nil"/>
              <w:bottom w:val="single" w:sz="4" w:space="0" w:color="auto"/>
              <w:right w:val="single" w:sz="4" w:space="0" w:color="auto"/>
            </w:tcBorders>
            <w:noWrap/>
            <w:vAlign w:val="bottom"/>
            <w:hideMark/>
          </w:tcPr>
          <w:p w14:paraId="1DCFA129" w14:textId="77777777" w:rsidR="00590FE5" w:rsidRDefault="00590FE5">
            <w:pPr>
              <w:spacing w:after="0" w:line="240" w:lineRule="auto"/>
              <w:jc w:val="right"/>
              <w:rPr>
                <w:rFonts w:ascii="Calibri" w:eastAsia="Times New Roman" w:hAnsi="Calibri" w:cs="Calibri"/>
                <w:color w:val="000000"/>
                <w:sz w:val="24"/>
                <w:szCs w:val="24"/>
                <w:lang w:val="es-CL" w:eastAsia="es-CL"/>
              </w:rPr>
            </w:pPr>
            <w:r>
              <w:rPr>
                <w:rFonts w:ascii="Calibri" w:eastAsia="Times New Roman" w:hAnsi="Calibri" w:cs="Calibri"/>
                <w:color w:val="000000"/>
                <w:sz w:val="24"/>
                <w:szCs w:val="24"/>
                <w:lang w:val="es-CL" w:eastAsia="es-CL"/>
              </w:rPr>
              <w:t>-0.0004938</w:t>
            </w:r>
          </w:p>
        </w:tc>
        <w:tc>
          <w:tcPr>
            <w:tcW w:w="1458" w:type="dxa"/>
            <w:tcBorders>
              <w:top w:val="nil"/>
              <w:left w:val="nil"/>
              <w:bottom w:val="single" w:sz="4" w:space="0" w:color="auto"/>
              <w:right w:val="single" w:sz="4" w:space="0" w:color="auto"/>
            </w:tcBorders>
            <w:noWrap/>
            <w:vAlign w:val="bottom"/>
            <w:hideMark/>
          </w:tcPr>
          <w:p w14:paraId="4166731E" w14:textId="77777777" w:rsidR="00590FE5" w:rsidRDefault="00590FE5">
            <w:pPr>
              <w:spacing w:after="0" w:line="240" w:lineRule="auto"/>
              <w:jc w:val="right"/>
              <w:rPr>
                <w:rFonts w:ascii="Calibri" w:eastAsia="Times New Roman" w:hAnsi="Calibri" w:cs="Calibri"/>
                <w:color w:val="000000"/>
                <w:sz w:val="24"/>
                <w:szCs w:val="24"/>
                <w:lang w:val="es-CL" w:eastAsia="es-CL"/>
              </w:rPr>
            </w:pPr>
            <w:r>
              <w:rPr>
                <w:rFonts w:ascii="Calibri" w:eastAsia="Times New Roman" w:hAnsi="Calibri" w:cs="Calibri"/>
                <w:color w:val="000000"/>
                <w:sz w:val="24"/>
                <w:szCs w:val="24"/>
                <w:lang w:val="es-CL" w:eastAsia="es-CL"/>
              </w:rPr>
              <w:t>0.001796</w:t>
            </w:r>
          </w:p>
        </w:tc>
        <w:tc>
          <w:tcPr>
            <w:tcW w:w="1313" w:type="dxa"/>
            <w:tcBorders>
              <w:top w:val="nil"/>
              <w:left w:val="nil"/>
              <w:bottom w:val="single" w:sz="4" w:space="0" w:color="auto"/>
              <w:right w:val="single" w:sz="4" w:space="0" w:color="auto"/>
            </w:tcBorders>
            <w:noWrap/>
            <w:vAlign w:val="bottom"/>
            <w:hideMark/>
          </w:tcPr>
          <w:p w14:paraId="125B1BD8" w14:textId="77777777" w:rsidR="00590FE5" w:rsidRDefault="00590FE5">
            <w:pPr>
              <w:spacing w:after="0" w:line="240" w:lineRule="auto"/>
              <w:jc w:val="right"/>
              <w:rPr>
                <w:rFonts w:ascii="Calibri" w:eastAsia="Times New Roman" w:hAnsi="Calibri" w:cs="Calibri"/>
                <w:color w:val="000000"/>
                <w:sz w:val="24"/>
                <w:szCs w:val="24"/>
                <w:lang w:val="es-CL" w:eastAsia="es-CL"/>
              </w:rPr>
            </w:pPr>
            <w:r>
              <w:rPr>
                <w:rFonts w:ascii="Calibri" w:eastAsia="Times New Roman" w:hAnsi="Calibri" w:cs="Calibri"/>
                <w:color w:val="000000"/>
                <w:sz w:val="24"/>
                <w:szCs w:val="24"/>
                <w:lang w:val="es-CL" w:eastAsia="es-CL"/>
              </w:rPr>
              <w:t>0.0001465</w:t>
            </w:r>
          </w:p>
        </w:tc>
        <w:tc>
          <w:tcPr>
            <w:tcW w:w="1459" w:type="dxa"/>
            <w:tcBorders>
              <w:top w:val="nil"/>
              <w:left w:val="nil"/>
              <w:bottom w:val="single" w:sz="4" w:space="0" w:color="auto"/>
              <w:right w:val="single" w:sz="4" w:space="0" w:color="auto"/>
            </w:tcBorders>
            <w:noWrap/>
            <w:vAlign w:val="bottom"/>
            <w:hideMark/>
          </w:tcPr>
          <w:p w14:paraId="4C47EE0E" w14:textId="77777777" w:rsidR="00590FE5" w:rsidRDefault="00590FE5">
            <w:pPr>
              <w:spacing w:after="0" w:line="240" w:lineRule="auto"/>
              <w:jc w:val="right"/>
              <w:rPr>
                <w:rFonts w:ascii="Calibri" w:eastAsia="Times New Roman" w:hAnsi="Calibri" w:cs="Calibri"/>
                <w:color w:val="000000"/>
                <w:sz w:val="24"/>
                <w:szCs w:val="24"/>
                <w:lang w:val="es-CL" w:eastAsia="es-CL"/>
              </w:rPr>
            </w:pPr>
            <w:r>
              <w:rPr>
                <w:rFonts w:ascii="Calibri" w:eastAsia="Times New Roman" w:hAnsi="Calibri" w:cs="Calibri"/>
                <w:color w:val="000000"/>
                <w:sz w:val="24"/>
                <w:szCs w:val="24"/>
                <w:lang w:val="es-CL" w:eastAsia="es-CL"/>
              </w:rPr>
              <w:t>0.0017634</w:t>
            </w:r>
          </w:p>
        </w:tc>
      </w:tr>
      <w:tr w:rsidR="00590FE5" w14:paraId="6D2F50C6" w14:textId="77777777" w:rsidTr="00057631">
        <w:trPr>
          <w:trHeight w:val="363"/>
        </w:trPr>
        <w:tc>
          <w:tcPr>
            <w:tcW w:w="1413" w:type="dxa"/>
            <w:tcBorders>
              <w:top w:val="nil"/>
              <w:left w:val="single" w:sz="4" w:space="0" w:color="auto"/>
              <w:bottom w:val="single" w:sz="4" w:space="0" w:color="auto"/>
              <w:right w:val="single" w:sz="4" w:space="0" w:color="auto"/>
            </w:tcBorders>
            <w:hideMark/>
          </w:tcPr>
          <w:p w14:paraId="3C0737C0" w14:textId="4A75BA40" w:rsidR="00590FE5" w:rsidRDefault="00590FE5">
            <w:pPr>
              <w:spacing w:after="0" w:line="240" w:lineRule="auto"/>
              <w:jc w:val="right"/>
              <w:rPr>
                <w:rFonts w:ascii="Calibri" w:eastAsia="Times New Roman" w:hAnsi="Calibri" w:cs="Calibri"/>
                <w:b/>
                <w:bCs/>
                <w:color w:val="000000"/>
                <w:sz w:val="24"/>
                <w:szCs w:val="24"/>
                <w:lang w:val="es-CL" w:eastAsia="es-CL"/>
              </w:rPr>
            </w:pPr>
            <w:r>
              <w:rPr>
                <w:rFonts w:ascii="Calibri" w:eastAsia="Times New Roman" w:hAnsi="Calibri" w:cs="Calibri"/>
                <w:b/>
                <w:bCs/>
                <w:color w:val="000000"/>
                <w:sz w:val="24"/>
                <w:szCs w:val="24"/>
                <w:lang w:val="es-CL" w:eastAsia="es-CL"/>
              </w:rPr>
              <w:t>p-value</w:t>
            </w:r>
            <w:r w:rsidR="00057631">
              <w:rPr>
                <w:rFonts w:ascii="Calibri" w:eastAsia="Times New Roman" w:hAnsi="Calibri" w:cs="Calibri"/>
                <w:b/>
                <w:bCs/>
                <w:color w:val="000000"/>
                <w:sz w:val="24"/>
                <w:szCs w:val="24"/>
                <w:lang w:val="es-CL" w:eastAsia="es-CL"/>
              </w:rPr>
              <w:t xml:space="preserve"> 2</w:t>
            </w:r>
            <w:r w:rsidR="00D509D0">
              <w:rPr>
                <w:rFonts w:ascii="Calibri" w:eastAsia="Times New Roman" w:hAnsi="Calibri" w:cs="Calibri"/>
                <w:b/>
                <w:bCs/>
                <w:color w:val="000000"/>
                <w:sz w:val="24"/>
                <w:szCs w:val="24"/>
                <w:lang w:val="es-CL" w:eastAsia="es-CL"/>
              </w:rPr>
              <w:t>SLQ</w:t>
            </w:r>
          </w:p>
        </w:tc>
        <w:tc>
          <w:tcPr>
            <w:tcW w:w="916" w:type="dxa"/>
            <w:tcBorders>
              <w:top w:val="nil"/>
              <w:left w:val="single" w:sz="4" w:space="0" w:color="auto"/>
              <w:bottom w:val="single" w:sz="4" w:space="0" w:color="auto"/>
              <w:right w:val="single" w:sz="4" w:space="0" w:color="auto"/>
            </w:tcBorders>
            <w:noWrap/>
            <w:vAlign w:val="bottom"/>
            <w:hideMark/>
          </w:tcPr>
          <w:p w14:paraId="7BF283CF" w14:textId="77777777" w:rsidR="00590FE5" w:rsidRDefault="00590FE5">
            <w:pPr>
              <w:spacing w:after="0" w:line="240" w:lineRule="auto"/>
              <w:jc w:val="right"/>
              <w:rPr>
                <w:rFonts w:ascii="Calibri" w:eastAsia="Times New Roman" w:hAnsi="Calibri" w:cs="Calibri"/>
                <w:color w:val="000000"/>
                <w:sz w:val="24"/>
                <w:szCs w:val="24"/>
                <w:lang w:val="es-CL" w:eastAsia="es-CL"/>
              </w:rPr>
            </w:pPr>
            <w:r>
              <w:rPr>
                <w:rFonts w:ascii="Calibri" w:eastAsia="Times New Roman" w:hAnsi="Calibri" w:cs="Calibri"/>
                <w:color w:val="000000"/>
                <w:sz w:val="24"/>
                <w:szCs w:val="24"/>
                <w:lang w:val="es-CL" w:eastAsia="es-CL"/>
              </w:rPr>
              <w:t>0.7968</w:t>
            </w:r>
          </w:p>
        </w:tc>
        <w:tc>
          <w:tcPr>
            <w:tcW w:w="1313" w:type="dxa"/>
            <w:tcBorders>
              <w:top w:val="nil"/>
              <w:left w:val="nil"/>
              <w:bottom w:val="single" w:sz="4" w:space="0" w:color="auto"/>
              <w:right w:val="single" w:sz="4" w:space="0" w:color="auto"/>
            </w:tcBorders>
            <w:noWrap/>
            <w:vAlign w:val="bottom"/>
            <w:hideMark/>
          </w:tcPr>
          <w:p w14:paraId="21B78BD8" w14:textId="77777777" w:rsidR="00590FE5" w:rsidRDefault="00590FE5">
            <w:pPr>
              <w:spacing w:after="0" w:line="240" w:lineRule="auto"/>
              <w:jc w:val="right"/>
              <w:rPr>
                <w:rFonts w:ascii="Calibri" w:eastAsia="Times New Roman" w:hAnsi="Calibri" w:cs="Calibri"/>
                <w:color w:val="000000"/>
                <w:sz w:val="24"/>
                <w:szCs w:val="24"/>
                <w:lang w:val="es-CL" w:eastAsia="es-CL"/>
              </w:rPr>
            </w:pPr>
            <w:r>
              <w:rPr>
                <w:rFonts w:ascii="Calibri" w:eastAsia="Times New Roman" w:hAnsi="Calibri" w:cs="Calibri"/>
                <w:color w:val="000000"/>
                <w:sz w:val="24"/>
                <w:szCs w:val="24"/>
                <w:lang w:val="es-CL" w:eastAsia="es-CL"/>
              </w:rPr>
              <w:t>0.7660</w:t>
            </w:r>
          </w:p>
        </w:tc>
        <w:tc>
          <w:tcPr>
            <w:tcW w:w="1313" w:type="dxa"/>
            <w:tcBorders>
              <w:top w:val="nil"/>
              <w:left w:val="nil"/>
              <w:bottom w:val="single" w:sz="4" w:space="0" w:color="auto"/>
              <w:right w:val="single" w:sz="4" w:space="0" w:color="auto"/>
            </w:tcBorders>
            <w:noWrap/>
            <w:vAlign w:val="bottom"/>
            <w:hideMark/>
          </w:tcPr>
          <w:p w14:paraId="197CA9D3" w14:textId="77777777" w:rsidR="00590FE5" w:rsidRDefault="00590FE5">
            <w:pPr>
              <w:spacing w:after="0" w:line="240" w:lineRule="auto"/>
              <w:jc w:val="right"/>
              <w:rPr>
                <w:rFonts w:ascii="Calibri" w:eastAsia="Times New Roman" w:hAnsi="Calibri" w:cs="Calibri"/>
                <w:color w:val="000000"/>
                <w:sz w:val="24"/>
                <w:szCs w:val="24"/>
                <w:lang w:val="es-CL" w:eastAsia="es-CL"/>
              </w:rPr>
            </w:pPr>
            <w:r>
              <w:rPr>
                <w:rFonts w:ascii="Calibri" w:eastAsia="Times New Roman" w:hAnsi="Calibri" w:cs="Calibri"/>
                <w:color w:val="000000"/>
                <w:sz w:val="24"/>
                <w:szCs w:val="24"/>
                <w:lang w:val="es-CL" w:eastAsia="es-CL"/>
              </w:rPr>
              <w:t>0.8190</w:t>
            </w:r>
          </w:p>
        </w:tc>
        <w:tc>
          <w:tcPr>
            <w:tcW w:w="1458" w:type="dxa"/>
            <w:tcBorders>
              <w:top w:val="nil"/>
              <w:left w:val="nil"/>
              <w:bottom w:val="single" w:sz="4" w:space="0" w:color="auto"/>
              <w:right w:val="single" w:sz="4" w:space="0" w:color="auto"/>
            </w:tcBorders>
            <w:noWrap/>
            <w:vAlign w:val="bottom"/>
            <w:hideMark/>
          </w:tcPr>
          <w:p w14:paraId="5E8BBAA6" w14:textId="77777777" w:rsidR="00590FE5" w:rsidRDefault="00590FE5">
            <w:pPr>
              <w:spacing w:after="0" w:line="240" w:lineRule="auto"/>
              <w:jc w:val="right"/>
              <w:rPr>
                <w:rFonts w:ascii="Calibri" w:eastAsia="Times New Roman" w:hAnsi="Calibri" w:cs="Calibri"/>
                <w:color w:val="000000"/>
                <w:sz w:val="24"/>
                <w:szCs w:val="24"/>
                <w:lang w:val="es-CL" w:eastAsia="es-CL"/>
              </w:rPr>
            </w:pPr>
            <w:r>
              <w:rPr>
                <w:rFonts w:ascii="Calibri" w:eastAsia="Times New Roman" w:hAnsi="Calibri" w:cs="Calibri"/>
                <w:color w:val="000000"/>
                <w:sz w:val="24"/>
                <w:szCs w:val="24"/>
                <w:lang w:val="es-CL" w:eastAsia="es-CL"/>
              </w:rPr>
              <w:t>0.3526</w:t>
            </w:r>
          </w:p>
        </w:tc>
        <w:tc>
          <w:tcPr>
            <w:tcW w:w="1313" w:type="dxa"/>
            <w:tcBorders>
              <w:top w:val="nil"/>
              <w:left w:val="nil"/>
              <w:bottom w:val="single" w:sz="4" w:space="0" w:color="auto"/>
              <w:right w:val="single" w:sz="4" w:space="0" w:color="auto"/>
            </w:tcBorders>
            <w:noWrap/>
            <w:vAlign w:val="bottom"/>
            <w:hideMark/>
          </w:tcPr>
          <w:p w14:paraId="31845895" w14:textId="77777777" w:rsidR="00590FE5" w:rsidRDefault="00590FE5">
            <w:pPr>
              <w:spacing w:after="0" w:line="240" w:lineRule="auto"/>
              <w:jc w:val="right"/>
              <w:rPr>
                <w:rFonts w:ascii="Calibri" w:eastAsia="Times New Roman" w:hAnsi="Calibri" w:cs="Calibri"/>
                <w:color w:val="000000"/>
                <w:sz w:val="24"/>
                <w:szCs w:val="24"/>
                <w:lang w:val="es-CL" w:eastAsia="es-CL"/>
              </w:rPr>
            </w:pPr>
            <w:r>
              <w:rPr>
                <w:rFonts w:ascii="Calibri" w:eastAsia="Times New Roman" w:hAnsi="Calibri" w:cs="Calibri"/>
                <w:color w:val="000000"/>
                <w:sz w:val="24"/>
                <w:szCs w:val="24"/>
                <w:lang w:val="es-CL" w:eastAsia="es-CL"/>
              </w:rPr>
              <w:t>0.9473</w:t>
            </w:r>
          </w:p>
        </w:tc>
        <w:tc>
          <w:tcPr>
            <w:tcW w:w="1459" w:type="dxa"/>
            <w:tcBorders>
              <w:top w:val="nil"/>
              <w:left w:val="nil"/>
              <w:bottom w:val="single" w:sz="4" w:space="0" w:color="auto"/>
              <w:right w:val="single" w:sz="4" w:space="0" w:color="auto"/>
            </w:tcBorders>
            <w:noWrap/>
            <w:vAlign w:val="bottom"/>
            <w:hideMark/>
          </w:tcPr>
          <w:p w14:paraId="3D4723A5" w14:textId="77777777" w:rsidR="00590FE5" w:rsidRDefault="00590FE5">
            <w:pPr>
              <w:spacing w:after="0" w:line="240" w:lineRule="auto"/>
              <w:jc w:val="right"/>
              <w:rPr>
                <w:rFonts w:ascii="Calibri" w:eastAsia="Times New Roman" w:hAnsi="Calibri" w:cs="Calibri"/>
                <w:color w:val="000000"/>
                <w:sz w:val="24"/>
                <w:szCs w:val="24"/>
                <w:lang w:val="es-CL" w:eastAsia="es-CL"/>
              </w:rPr>
            </w:pPr>
            <w:r>
              <w:rPr>
                <w:rFonts w:ascii="Calibri" w:eastAsia="Times New Roman" w:hAnsi="Calibri" w:cs="Calibri"/>
                <w:color w:val="000000"/>
                <w:sz w:val="24"/>
                <w:szCs w:val="24"/>
                <w:lang w:val="es-CL" w:eastAsia="es-CL"/>
              </w:rPr>
              <w:t>0.2841</w:t>
            </w:r>
          </w:p>
        </w:tc>
      </w:tr>
      <w:tr w:rsidR="00485D4C" w14:paraId="4DE5F6BD" w14:textId="77777777" w:rsidTr="00057631">
        <w:trPr>
          <w:trHeight w:val="363"/>
        </w:trPr>
        <w:tc>
          <w:tcPr>
            <w:tcW w:w="1413" w:type="dxa"/>
            <w:tcBorders>
              <w:top w:val="single" w:sz="4" w:space="0" w:color="auto"/>
              <w:left w:val="single" w:sz="4" w:space="0" w:color="auto"/>
              <w:bottom w:val="single" w:sz="4" w:space="0" w:color="auto"/>
              <w:right w:val="single" w:sz="4" w:space="0" w:color="auto"/>
            </w:tcBorders>
          </w:tcPr>
          <w:p w14:paraId="5BD68505" w14:textId="1EEBF1CF" w:rsidR="00485D4C" w:rsidRDefault="00057631">
            <w:pPr>
              <w:spacing w:after="0" w:line="240" w:lineRule="auto"/>
              <w:jc w:val="right"/>
              <w:rPr>
                <w:rFonts w:ascii="Calibri" w:eastAsia="Times New Roman" w:hAnsi="Calibri" w:cs="Calibri"/>
                <w:b/>
                <w:bCs/>
                <w:color w:val="000000"/>
                <w:sz w:val="24"/>
                <w:szCs w:val="24"/>
                <w:lang w:val="es-CL" w:eastAsia="es-CL"/>
              </w:rPr>
            </w:pPr>
            <w:r>
              <w:rPr>
                <w:rFonts w:ascii="Calibri" w:eastAsia="Times New Roman" w:hAnsi="Calibri" w:cs="Calibri"/>
                <w:b/>
                <w:bCs/>
                <w:color w:val="000000"/>
                <w:sz w:val="24"/>
                <w:szCs w:val="24"/>
                <w:lang w:val="es-CL" w:eastAsia="es-CL"/>
              </w:rPr>
              <w:t>p-value 3</w:t>
            </w:r>
            <w:r w:rsidR="00D509D0">
              <w:rPr>
                <w:rFonts w:ascii="Calibri" w:eastAsia="Times New Roman" w:hAnsi="Calibri" w:cs="Calibri"/>
                <w:b/>
                <w:bCs/>
                <w:color w:val="000000"/>
                <w:sz w:val="24"/>
                <w:szCs w:val="24"/>
                <w:lang w:val="es-CL" w:eastAsia="es-CL"/>
              </w:rPr>
              <w:t>SLQ</w:t>
            </w:r>
          </w:p>
        </w:tc>
        <w:tc>
          <w:tcPr>
            <w:tcW w:w="916" w:type="dxa"/>
            <w:tcBorders>
              <w:top w:val="single" w:sz="4" w:space="0" w:color="auto"/>
              <w:left w:val="single" w:sz="4" w:space="0" w:color="auto"/>
              <w:bottom w:val="single" w:sz="4" w:space="0" w:color="auto"/>
              <w:right w:val="single" w:sz="4" w:space="0" w:color="auto"/>
            </w:tcBorders>
            <w:noWrap/>
            <w:vAlign w:val="bottom"/>
          </w:tcPr>
          <w:p w14:paraId="4FB9FC30" w14:textId="4EA06646" w:rsidR="00485D4C" w:rsidRDefault="00170049">
            <w:pPr>
              <w:spacing w:after="0" w:line="240" w:lineRule="auto"/>
              <w:jc w:val="right"/>
              <w:rPr>
                <w:rFonts w:ascii="Calibri" w:eastAsia="Times New Roman" w:hAnsi="Calibri" w:cs="Calibri"/>
                <w:color w:val="000000"/>
                <w:sz w:val="24"/>
                <w:szCs w:val="24"/>
                <w:lang w:val="es-CL" w:eastAsia="es-CL"/>
              </w:rPr>
            </w:pPr>
            <w:r>
              <w:rPr>
                <w:rFonts w:ascii="Calibri" w:eastAsia="Times New Roman" w:hAnsi="Calibri" w:cs="Calibri"/>
                <w:color w:val="000000"/>
                <w:sz w:val="24"/>
                <w:szCs w:val="24"/>
                <w:lang w:val="es-CL" w:eastAsia="es-CL"/>
              </w:rPr>
              <w:t>0.7195</w:t>
            </w:r>
          </w:p>
        </w:tc>
        <w:tc>
          <w:tcPr>
            <w:tcW w:w="1313" w:type="dxa"/>
            <w:tcBorders>
              <w:top w:val="single" w:sz="4" w:space="0" w:color="auto"/>
              <w:left w:val="nil"/>
              <w:bottom w:val="single" w:sz="4" w:space="0" w:color="auto"/>
              <w:right w:val="single" w:sz="4" w:space="0" w:color="auto"/>
            </w:tcBorders>
            <w:noWrap/>
            <w:vAlign w:val="bottom"/>
          </w:tcPr>
          <w:p w14:paraId="2D0CA271" w14:textId="2361A423" w:rsidR="00485D4C" w:rsidRDefault="00170049">
            <w:pPr>
              <w:spacing w:after="0" w:line="240" w:lineRule="auto"/>
              <w:jc w:val="right"/>
              <w:rPr>
                <w:rFonts w:ascii="Calibri" w:eastAsia="Times New Roman" w:hAnsi="Calibri" w:cs="Calibri"/>
                <w:color w:val="000000"/>
                <w:sz w:val="24"/>
                <w:szCs w:val="24"/>
                <w:lang w:val="es-CL" w:eastAsia="es-CL"/>
              </w:rPr>
            </w:pPr>
            <w:r w:rsidRPr="00170049">
              <w:rPr>
                <w:rFonts w:ascii="Calibri" w:eastAsia="Times New Roman" w:hAnsi="Calibri" w:cs="Calibri"/>
                <w:color w:val="000000"/>
                <w:sz w:val="24"/>
                <w:szCs w:val="24"/>
                <w:lang w:val="es-CL" w:eastAsia="es-CL"/>
              </w:rPr>
              <w:t xml:space="preserve">  0.6878</w:t>
            </w:r>
          </w:p>
        </w:tc>
        <w:tc>
          <w:tcPr>
            <w:tcW w:w="1313" w:type="dxa"/>
            <w:tcBorders>
              <w:top w:val="single" w:sz="4" w:space="0" w:color="auto"/>
              <w:left w:val="nil"/>
              <w:bottom w:val="single" w:sz="4" w:space="0" w:color="auto"/>
              <w:right w:val="single" w:sz="4" w:space="0" w:color="auto"/>
            </w:tcBorders>
            <w:noWrap/>
            <w:vAlign w:val="bottom"/>
          </w:tcPr>
          <w:p w14:paraId="58C09D32" w14:textId="2924DFB9" w:rsidR="00485D4C" w:rsidRDefault="00170049">
            <w:pPr>
              <w:spacing w:after="0" w:line="240" w:lineRule="auto"/>
              <w:jc w:val="right"/>
              <w:rPr>
                <w:rFonts w:ascii="Calibri" w:eastAsia="Times New Roman" w:hAnsi="Calibri" w:cs="Calibri"/>
                <w:color w:val="000000"/>
                <w:sz w:val="24"/>
                <w:szCs w:val="24"/>
                <w:lang w:val="es-CL" w:eastAsia="es-CL"/>
              </w:rPr>
            </w:pPr>
            <w:r w:rsidRPr="00170049">
              <w:rPr>
                <w:rFonts w:ascii="Calibri" w:eastAsia="Times New Roman" w:hAnsi="Calibri" w:cs="Calibri"/>
                <w:color w:val="000000"/>
                <w:sz w:val="24"/>
                <w:szCs w:val="24"/>
                <w:lang w:val="es-CL" w:eastAsia="es-CL"/>
              </w:rPr>
              <w:t>0.7427</w:t>
            </w:r>
          </w:p>
        </w:tc>
        <w:tc>
          <w:tcPr>
            <w:tcW w:w="1458" w:type="dxa"/>
            <w:tcBorders>
              <w:top w:val="single" w:sz="4" w:space="0" w:color="auto"/>
              <w:left w:val="nil"/>
              <w:bottom w:val="single" w:sz="4" w:space="0" w:color="auto"/>
              <w:right w:val="single" w:sz="4" w:space="0" w:color="auto"/>
            </w:tcBorders>
            <w:noWrap/>
            <w:vAlign w:val="bottom"/>
          </w:tcPr>
          <w:p w14:paraId="705B6053" w14:textId="5365B98C" w:rsidR="00485D4C" w:rsidRDefault="00170049">
            <w:pPr>
              <w:spacing w:after="0" w:line="240" w:lineRule="auto"/>
              <w:jc w:val="right"/>
              <w:rPr>
                <w:rFonts w:ascii="Calibri" w:eastAsia="Times New Roman" w:hAnsi="Calibri" w:cs="Calibri"/>
                <w:color w:val="000000"/>
                <w:sz w:val="24"/>
                <w:szCs w:val="24"/>
                <w:lang w:val="es-CL" w:eastAsia="es-CL"/>
              </w:rPr>
            </w:pPr>
            <w:r w:rsidRPr="00170049">
              <w:rPr>
                <w:rFonts w:ascii="Calibri" w:eastAsia="Times New Roman" w:hAnsi="Calibri" w:cs="Calibri"/>
                <w:color w:val="000000"/>
                <w:sz w:val="24"/>
                <w:szCs w:val="24"/>
                <w:lang w:val="es-CL" w:eastAsia="es-CL"/>
              </w:rPr>
              <w:t>0.1961</w:t>
            </w:r>
          </w:p>
        </w:tc>
        <w:tc>
          <w:tcPr>
            <w:tcW w:w="1313" w:type="dxa"/>
            <w:tcBorders>
              <w:top w:val="single" w:sz="4" w:space="0" w:color="auto"/>
              <w:left w:val="nil"/>
              <w:bottom w:val="single" w:sz="4" w:space="0" w:color="auto"/>
              <w:right w:val="single" w:sz="4" w:space="0" w:color="auto"/>
            </w:tcBorders>
            <w:noWrap/>
            <w:vAlign w:val="bottom"/>
          </w:tcPr>
          <w:p w14:paraId="7C8B5632" w14:textId="1972DAB5" w:rsidR="00485D4C" w:rsidRDefault="00170049">
            <w:pPr>
              <w:spacing w:after="0" w:line="240" w:lineRule="auto"/>
              <w:jc w:val="right"/>
              <w:rPr>
                <w:rFonts w:ascii="Calibri" w:eastAsia="Times New Roman" w:hAnsi="Calibri" w:cs="Calibri"/>
                <w:color w:val="000000"/>
                <w:sz w:val="24"/>
                <w:szCs w:val="24"/>
                <w:lang w:val="es-CL" w:eastAsia="es-CL"/>
              </w:rPr>
            </w:pPr>
            <w:r w:rsidRPr="00170049">
              <w:rPr>
                <w:rFonts w:ascii="Calibri" w:eastAsia="Times New Roman" w:hAnsi="Calibri" w:cs="Calibri"/>
                <w:color w:val="000000"/>
                <w:sz w:val="24"/>
                <w:szCs w:val="24"/>
                <w:lang w:val="es-CL" w:eastAsia="es-CL"/>
              </w:rPr>
              <w:t>0.9055</w:t>
            </w:r>
          </w:p>
        </w:tc>
        <w:tc>
          <w:tcPr>
            <w:tcW w:w="1459" w:type="dxa"/>
            <w:tcBorders>
              <w:top w:val="single" w:sz="4" w:space="0" w:color="auto"/>
              <w:left w:val="nil"/>
              <w:bottom w:val="single" w:sz="4" w:space="0" w:color="auto"/>
              <w:right w:val="single" w:sz="4" w:space="0" w:color="auto"/>
            </w:tcBorders>
            <w:noWrap/>
            <w:vAlign w:val="bottom"/>
          </w:tcPr>
          <w:p w14:paraId="0876BAB9" w14:textId="17287ECF" w:rsidR="00485D4C" w:rsidRDefault="00170049">
            <w:pPr>
              <w:spacing w:after="0" w:line="240" w:lineRule="auto"/>
              <w:jc w:val="right"/>
              <w:rPr>
                <w:rFonts w:ascii="Calibri" w:eastAsia="Times New Roman" w:hAnsi="Calibri" w:cs="Calibri"/>
                <w:color w:val="000000"/>
                <w:sz w:val="24"/>
                <w:szCs w:val="24"/>
                <w:lang w:val="es-CL" w:eastAsia="es-CL"/>
              </w:rPr>
            </w:pPr>
            <w:r w:rsidRPr="00170049">
              <w:rPr>
                <w:rFonts w:ascii="Calibri" w:eastAsia="Times New Roman" w:hAnsi="Calibri" w:cs="Calibri"/>
                <w:color w:val="000000"/>
                <w:sz w:val="24"/>
                <w:szCs w:val="24"/>
                <w:lang w:val="es-CL" w:eastAsia="es-CL"/>
              </w:rPr>
              <w:t>0.1463</w:t>
            </w:r>
          </w:p>
        </w:tc>
      </w:tr>
    </w:tbl>
    <w:p w14:paraId="541AE54F" w14:textId="77777777" w:rsidR="0008666E" w:rsidRDefault="0008666E" w:rsidP="000C41C7">
      <w:pPr>
        <w:jc w:val="both"/>
        <w:rPr>
          <w:sz w:val="24"/>
          <w:szCs w:val="24"/>
          <w:lang w:val="es-CL"/>
        </w:rPr>
      </w:pPr>
    </w:p>
    <w:p w14:paraId="2838FC8A" w14:textId="1262D932" w:rsidR="007240BB" w:rsidRDefault="0008666E" w:rsidP="000C41C7">
      <w:pPr>
        <w:jc w:val="both"/>
        <w:rPr>
          <w:b/>
          <w:bCs/>
          <w:sz w:val="24"/>
          <w:szCs w:val="24"/>
        </w:rPr>
      </w:pPr>
      <w:r w:rsidRPr="003B6C66">
        <w:rPr>
          <w:sz w:val="24"/>
          <w:szCs w:val="24"/>
        </w:rPr>
        <w:t>Th</w:t>
      </w:r>
      <w:r w:rsidR="000D7626" w:rsidRPr="003B6C66">
        <w:rPr>
          <w:sz w:val="24"/>
          <w:szCs w:val="24"/>
        </w:rPr>
        <w:t>us</w:t>
      </w:r>
      <w:r w:rsidRPr="003B6C66">
        <w:rPr>
          <w:sz w:val="24"/>
          <w:szCs w:val="24"/>
        </w:rPr>
        <w:t>, when we consider the effects through the exchange rate the impact of demand on inflation becomes greater</w:t>
      </w:r>
      <w:r w:rsidR="00966C5F" w:rsidRPr="003B6C66">
        <w:rPr>
          <w:sz w:val="24"/>
          <w:szCs w:val="24"/>
        </w:rPr>
        <w:t>,</w:t>
      </w:r>
      <w:r w:rsidR="00B313A0" w:rsidRPr="003B6C66">
        <w:rPr>
          <w:sz w:val="24"/>
          <w:szCs w:val="24"/>
        </w:rPr>
        <w:t xml:space="preserve"> </w:t>
      </w:r>
      <w:r w:rsidRPr="003B6C66">
        <w:rPr>
          <w:sz w:val="24"/>
          <w:szCs w:val="24"/>
        </w:rPr>
        <w:t>but these effects are generally not significant</w:t>
      </w:r>
      <w:r w:rsidR="00B72B38" w:rsidRPr="003B6C66">
        <w:rPr>
          <w:sz w:val="24"/>
          <w:szCs w:val="24"/>
        </w:rPr>
        <w:t xml:space="preserve"> </w:t>
      </w:r>
      <w:r w:rsidRPr="003B6C66">
        <w:rPr>
          <w:sz w:val="24"/>
          <w:szCs w:val="24"/>
        </w:rPr>
        <w:t>as can be seen in Table 4.</w:t>
      </w:r>
      <w:r w:rsidR="00E23823" w:rsidRPr="00E23823">
        <w:t xml:space="preserve"> </w:t>
      </w:r>
      <w:r w:rsidR="00E23823" w:rsidRPr="003B6C66">
        <w:rPr>
          <w:sz w:val="24"/>
          <w:szCs w:val="24"/>
        </w:rPr>
        <w:t xml:space="preserve">Only for the period </w:t>
      </w:r>
      <w:r w:rsidR="005365E9" w:rsidRPr="003B6C66">
        <w:rPr>
          <w:sz w:val="24"/>
          <w:szCs w:val="24"/>
        </w:rPr>
        <w:t>May</w:t>
      </w:r>
      <w:r w:rsidR="00E23823" w:rsidRPr="003B6C66">
        <w:rPr>
          <w:sz w:val="24"/>
          <w:szCs w:val="24"/>
        </w:rPr>
        <w:t>-December 2021 the p-value is close to having some</w:t>
      </w:r>
      <w:r w:rsidR="0054152E" w:rsidRPr="003B6C66">
        <w:rPr>
          <w:sz w:val="24"/>
          <w:szCs w:val="24"/>
        </w:rPr>
        <w:t xml:space="preserve"> statistical</w:t>
      </w:r>
      <w:r w:rsidR="00E23823" w:rsidRPr="003B6C66">
        <w:rPr>
          <w:sz w:val="24"/>
          <w:szCs w:val="24"/>
        </w:rPr>
        <w:t xml:space="preserve"> significance</w:t>
      </w:r>
      <w:r w:rsidRPr="003B6C66">
        <w:rPr>
          <w:sz w:val="24"/>
          <w:szCs w:val="24"/>
        </w:rPr>
        <w:t xml:space="preserve">. Using equation (4) we obtain that for the four-month period September-December 2021, the period with the highest inflationary effect of demand, the total average monthly effect of demand reaches a value close to 0.17%. </w:t>
      </w:r>
      <w:r w:rsidRPr="003B6C66">
        <w:rPr>
          <w:b/>
          <w:bCs/>
          <w:sz w:val="24"/>
          <w:szCs w:val="24"/>
        </w:rPr>
        <w:t xml:space="preserve">Given that the average monthly inflation of those </w:t>
      </w:r>
      <w:r w:rsidR="00052A43" w:rsidRPr="003B6C66">
        <w:rPr>
          <w:b/>
          <w:bCs/>
          <w:sz w:val="24"/>
          <w:szCs w:val="24"/>
        </w:rPr>
        <w:t>four</w:t>
      </w:r>
      <w:r w:rsidRPr="003B6C66">
        <w:rPr>
          <w:b/>
          <w:bCs/>
          <w:sz w:val="24"/>
          <w:szCs w:val="24"/>
        </w:rPr>
        <w:t xml:space="preserve"> months reached 0.95%, the impact of domestic demand explains around a fifth of the observed inflation.</w:t>
      </w:r>
      <w:r w:rsidR="00023197" w:rsidRPr="003B6C66">
        <w:rPr>
          <w:b/>
          <w:bCs/>
          <w:sz w:val="24"/>
          <w:szCs w:val="24"/>
        </w:rPr>
        <w:t xml:space="preserve"> Then,</w:t>
      </w:r>
      <w:r w:rsidRPr="003B6C66">
        <w:rPr>
          <w:b/>
          <w:bCs/>
          <w:sz w:val="24"/>
          <w:szCs w:val="24"/>
        </w:rPr>
        <w:t xml:space="preserve"> </w:t>
      </w:r>
      <w:r w:rsidR="00023197" w:rsidRPr="003B6C66">
        <w:rPr>
          <w:b/>
          <w:bCs/>
          <w:sz w:val="24"/>
          <w:szCs w:val="24"/>
        </w:rPr>
        <w:t>i</w:t>
      </w:r>
      <w:r w:rsidRPr="003B6C66">
        <w:rPr>
          <w:b/>
          <w:bCs/>
          <w:sz w:val="24"/>
          <w:szCs w:val="24"/>
        </w:rPr>
        <w:t>f monetary policy had totally suppressed the expansion of domestic demand, total inflation would have been 5.4% instead of 7.2%.</w:t>
      </w:r>
    </w:p>
    <w:p w14:paraId="75330F1B" w14:textId="77777777" w:rsidR="008D56E1" w:rsidRPr="003B6C66" w:rsidRDefault="008D56E1" w:rsidP="000C41C7">
      <w:pPr>
        <w:jc w:val="both"/>
        <w:rPr>
          <w:sz w:val="24"/>
          <w:szCs w:val="24"/>
        </w:rPr>
      </w:pPr>
    </w:p>
    <w:p w14:paraId="26F641E9" w14:textId="0B448816" w:rsidR="00FE72E6" w:rsidRPr="00983167" w:rsidRDefault="00DB4220" w:rsidP="00FE72E6">
      <w:pPr>
        <w:ind w:firstLine="720"/>
        <w:jc w:val="both"/>
        <w:rPr>
          <w:rFonts w:eastAsiaTheme="minorEastAsia"/>
          <w:i/>
          <w:iCs/>
          <w:sz w:val="24"/>
          <w:szCs w:val="24"/>
        </w:rPr>
      </w:pPr>
      <w:r w:rsidRPr="00983167">
        <w:rPr>
          <w:rFonts w:eastAsiaTheme="minorEastAsia"/>
          <w:b/>
          <w:bCs/>
          <w:i/>
          <w:iCs/>
          <w:sz w:val="24"/>
          <w:szCs w:val="24"/>
        </w:rPr>
        <w:t>3.</w:t>
      </w:r>
      <w:r w:rsidR="00FE72E6" w:rsidRPr="00983167">
        <w:rPr>
          <w:rFonts w:eastAsiaTheme="minorEastAsia"/>
          <w:b/>
          <w:bCs/>
          <w:i/>
          <w:iCs/>
          <w:sz w:val="24"/>
          <w:szCs w:val="24"/>
        </w:rPr>
        <w:t xml:space="preserve">   </w:t>
      </w:r>
      <w:r w:rsidR="00FF01AC" w:rsidRPr="00983167">
        <w:rPr>
          <w:rFonts w:eastAsiaTheme="minorEastAsia"/>
          <w:b/>
          <w:bCs/>
          <w:i/>
          <w:iCs/>
          <w:sz w:val="24"/>
          <w:szCs w:val="24"/>
        </w:rPr>
        <w:t>Simula</w:t>
      </w:r>
      <w:r w:rsidR="00941939" w:rsidRPr="00983167">
        <w:rPr>
          <w:rFonts w:eastAsiaTheme="minorEastAsia"/>
          <w:b/>
          <w:bCs/>
          <w:i/>
          <w:iCs/>
          <w:sz w:val="24"/>
          <w:szCs w:val="24"/>
        </w:rPr>
        <w:t>tions</w:t>
      </w:r>
    </w:p>
    <w:p w14:paraId="1E808F18" w14:textId="73745DCA" w:rsidR="00091C22" w:rsidRPr="003B6C66" w:rsidRDefault="00941939" w:rsidP="003429B9">
      <w:pPr>
        <w:jc w:val="both"/>
        <w:rPr>
          <w:rFonts w:eastAsiaTheme="minorEastAsia"/>
          <w:sz w:val="24"/>
          <w:szCs w:val="24"/>
        </w:rPr>
      </w:pPr>
      <w:r w:rsidRPr="003B6C66">
        <w:rPr>
          <w:rFonts w:eastAsiaTheme="minorEastAsia"/>
          <w:sz w:val="24"/>
          <w:szCs w:val="24"/>
        </w:rPr>
        <w:t>With the parameters estimated by TSLS, the average inflation for 2021 and the last quarter of the same year was simulated. To this end, data on external inflation for the United States, China and the eurozone, lagged inflation for Chile and the variation in the nominal exchange rate were included.</w:t>
      </w:r>
    </w:p>
    <w:p w14:paraId="30280BCB" w14:textId="77777777" w:rsidR="003429B9" w:rsidRPr="003B6C66" w:rsidRDefault="003429B9" w:rsidP="003429B9">
      <w:pPr>
        <w:rPr>
          <w:rFonts w:eastAsiaTheme="minorEastAsia"/>
          <w:b/>
          <w:bCs/>
          <w:sz w:val="24"/>
          <w:szCs w:val="24"/>
        </w:rPr>
      </w:pPr>
      <w:r w:rsidRPr="003B6C66">
        <w:rPr>
          <w:rFonts w:eastAsiaTheme="minorEastAsia"/>
          <w:b/>
          <w:bCs/>
          <w:sz w:val="24"/>
          <w:szCs w:val="24"/>
        </w:rPr>
        <w:t>Table 5. Simulation of average inflation for the year 2021 and the last quarter of the same year with the parameters estimated by 2SLS.</w:t>
      </w:r>
    </w:p>
    <w:tbl>
      <w:tblPr>
        <w:tblStyle w:val="Tablaconcuadrculaclara"/>
        <w:tblW w:w="9404" w:type="dxa"/>
        <w:tblLook w:val="04A0" w:firstRow="1" w:lastRow="0" w:firstColumn="1" w:lastColumn="0" w:noHBand="0" w:noVBand="1"/>
      </w:tblPr>
      <w:tblGrid>
        <w:gridCol w:w="1876"/>
        <w:gridCol w:w="1098"/>
        <w:gridCol w:w="1132"/>
        <w:gridCol w:w="1134"/>
        <w:gridCol w:w="1556"/>
        <w:gridCol w:w="1421"/>
        <w:gridCol w:w="1261"/>
      </w:tblGrid>
      <w:tr w:rsidR="00FF01AC" w:rsidRPr="00CD4533" w14:paraId="0AB9C18D" w14:textId="77777777" w:rsidTr="007C0BAF">
        <w:trPr>
          <w:trHeight w:val="375"/>
        </w:trPr>
        <w:tc>
          <w:tcPr>
            <w:tcW w:w="9404" w:type="dxa"/>
            <w:gridSpan w:val="7"/>
            <w:shd w:val="clear" w:color="auto" w:fill="D9E2F3" w:themeFill="accent1" w:themeFillTint="33"/>
            <w:noWrap/>
            <w:hideMark/>
          </w:tcPr>
          <w:p w14:paraId="722B85D2" w14:textId="134AF5C6" w:rsidR="00FF01AC" w:rsidRPr="003B6C66" w:rsidRDefault="007C0BAF" w:rsidP="007C0BAF">
            <w:pPr>
              <w:jc w:val="center"/>
              <w:rPr>
                <w:rFonts w:ascii="Calibri" w:eastAsia="Times New Roman" w:hAnsi="Calibri" w:cs="Calibri"/>
                <w:b/>
                <w:bCs/>
                <w:color w:val="000000"/>
              </w:rPr>
            </w:pPr>
            <w:r w:rsidRPr="003B6C66">
              <w:rPr>
                <w:rFonts w:ascii="Calibri" w:eastAsia="Times New Roman" w:hAnsi="Calibri" w:cs="Calibri"/>
                <w:b/>
                <w:bCs/>
                <w:color w:val="000000"/>
              </w:rPr>
              <w:t>Simulation</w:t>
            </w:r>
            <w:r w:rsidR="00F35841" w:rsidRPr="003B6C66">
              <w:rPr>
                <w:rFonts w:ascii="Calibri" w:eastAsia="Times New Roman" w:hAnsi="Calibri" w:cs="Calibri"/>
                <w:b/>
                <w:bCs/>
                <w:color w:val="000000"/>
              </w:rPr>
              <w:t>:</w:t>
            </w:r>
            <w:r w:rsidRPr="003B6C66">
              <w:rPr>
                <w:rFonts w:ascii="Calibri" w:eastAsia="Times New Roman" w:hAnsi="Calibri" w:cs="Calibri"/>
                <w:b/>
                <w:bCs/>
                <w:color w:val="000000"/>
              </w:rPr>
              <w:t xml:space="preserve"> Inflation in Chile (average contributions, </w:t>
            </w:r>
            <w:r w:rsidR="0025431D" w:rsidRPr="003B6C66">
              <w:rPr>
                <w:rFonts w:ascii="Calibri" w:eastAsia="Times New Roman" w:hAnsi="Calibri" w:cs="Calibri"/>
                <w:b/>
                <w:bCs/>
                <w:color w:val="000000"/>
              </w:rPr>
              <w:t xml:space="preserve">2021 and </w:t>
            </w:r>
            <w:r w:rsidRPr="003B6C66">
              <w:rPr>
                <w:rFonts w:ascii="Calibri" w:eastAsia="Times New Roman" w:hAnsi="Calibri" w:cs="Calibri"/>
                <w:b/>
                <w:bCs/>
                <w:color w:val="000000"/>
              </w:rPr>
              <w:t>4th quarter of 2021)</w:t>
            </w:r>
          </w:p>
        </w:tc>
      </w:tr>
      <w:tr w:rsidR="00FF01AC" w:rsidRPr="00E27560" w14:paraId="724B5304" w14:textId="77777777" w:rsidTr="00DE3569">
        <w:trPr>
          <w:trHeight w:val="535"/>
        </w:trPr>
        <w:tc>
          <w:tcPr>
            <w:tcW w:w="1876" w:type="dxa"/>
            <w:noWrap/>
            <w:hideMark/>
          </w:tcPr>
          <w:p w14:paraId="1343063B" w14:textId="23481852" w:rsidR="00FF01AC" w:rsidRPr="00FC0485" w:rsidRDefault="00423CCF" w:rsidP="00545577">
            <w:pPr>
              <w:jc w:val="center"/>
              <w:rPr>
                <w:rFonts w:ascii="Calibri" w:eastAsia="Times New Roman" w:hAnsi="Calibri" w:cs="Calibri"/>
                <w:b/>
                <w:bCs/>
                <w:color w:val="000000"/>
              </w:rPr>
            </w:pPr>
            <w:r>
              <w:rPr>
                <w:rFonts w:ascii="Calibri" w:eastAsia="Times New Roman" w:hAnsi="Calibri" w:cs="Calibri"/>
                <w:b/>
                <w:bCs/>
                <w:color w:val="000000"/>
              </w:rPr>
              <w:t>Ave</w:t>
            </w:r>
            <w:r w:rsidR="00985FA4">
              <w:rPr>
                <w:rFonts w:ascii="Calibri" w:eastAsia="Times New Roman" w:hAnsi="Calibri" w:cs="Calibri"/>
                <w:b/>
                <w:bCs/>
                <w:color w:val="000000"/>
              </w:rPr>
              <w:t>r</w:t>
            </w:r>
            <w:r w:rsidR="00A01508">
              <w:rPr>
                <w:rFonts w:ascii="Calibri" w:eastAsia="Times New Roman" w:hAnsi="Calibri" w:cs="Calibri"/>
                <w:b/>
                <w:bCs/>
                <w:color w:val="000000"/>
              </w:rPr>
              <w:t>age</w:t>
            </w:r>
            <w:r>
              <w:rPr>
                <w:rFonts w:ascii="Calibri" w:eastAsia="Times New Roman" w:hAnsi="Calibri" w:cs="Calibri"/>
                <w:b/>
                <w:bCs/>
                <w:color w:val="000000"/>
              </w:rPr>
              <w:t xml:space="preserve"> </w:t>
            </w:r>
            <w:r w:rsidR="00FF01AC" w:rsidRPr="00FC0485">
              <w:rPr>
                <w:rFonts w:ascii="Calibri" w:eastAsia="Times New Roman" w:hAnsi="Calibri" w:cs="Calibri"/>
                <w:b/>
                <w:bCs/>
                <w:color w:val="000000"/>
              </w:rPr>
              <w:t xml:space="preserve">Inf. 4° </w:t>
            </w:r>
            <w:r>
              <w:rPr>
                <w:rFonts w:ascii="Calibri" w:eastAsia="Times New Roman" w:hAnsi="Calibri" w:cs="Calibri"/>
                <w:b/>
                <w:bCs/>
                <w:color w:val="000000"/>
              </w:rPr>
              <w:t>quarter 2021</w:t>
            </w:r>
          </w:p>
        </w:tc>
        <w:tc>
          <w:tcPr>
            <w:tcW w:w="1098" w:type="dxa"/>
            <w:noWrap/>
            <w:hideMark/>
          </w:tcPr>
          <w:p w14:paraId="0D52CE44" w14:textId="5CBF8B55" w:rsidR="00FF01AC" w:rsidRPr="00596B96" w:rsidRDefault="00596B96" w:rsidP="00545577">
            <w:pPr>
              <w:jc w:val="center"/>
              <w:rPr>
                <w:rFonts w:ascii="Calibri" w:eastAsia="Times New Roman" w:hAnsi="Calibri" w:cs="Calibri"/>
                <w:b/>
                <w:bCs/>
                <w:color w:val="000000"/>
              </w:rPr>
            </w:pPr>
            <m:oMathPara>
              <m:oMath>
                <m:r>
                  <m:rPr>
                    <m:sty m:val="bi"/>
                  </m:rPr>
                  <w:rPr>
                    <w:rFonts w:ascii="Cambria Math" w:eastAsia="Times New Roman" w:hAnsi="Cambria Math" w:cs="Calibri"/>
                    <w:color w:val="000000"/>
                  </w:rPr>
                  <m:t>∆E</m:t>
                </m:r>
              </m:oMath>
            </m:oMathPara>
          </w:p>
        </w:tc>
        <w:tc>
          <w:tcPr>
            <w:tcW w:w="1132" w:type="dxa"/>
            <w:noWrap/>
            <w:hideMark/>
          </w:tcPr>
          <w:p w14:paraId="3CBFCF76" w14:textId="575E8C85" w:rsidR="00FF01AC" w:rsidRPr="00FC0485" w:rsidRDefault="00596B96" w:rsidP="00596B96">
            <w:pPr>
              <w:rPr>
                <w:rFonts w:ascii="Calibri" w:eastAsia="Times New Roman" w:hAnsi="Calibri" w:cs="Calibri"/>
                <w:b/>
                <w:bCs/>
                <w:color w:val="000000"/>
              </w:rPr>
            </w:pPr>
            <w:r>
              <w:rPr>
                <w:rFonts w:ascii="Calibri" w:eastAsia="Times New Roman" w:hAnsi="Calibri" w:cs="Calibri"/>
                <w:b/>
                <w:bCs/>
                <w:color w:val="000000"/>
              </w:rPr>
              <w:t xml:space="preserve"> </w:t>
            </w:r>
            <w:r w:rsidR="00FF01AC" w:rsidRPr="00FC0485">
              <w:rPr>
                <w:rFonts w:ascii="Calibri" w:eastAsia="Times New Roman" w:hAnsi="Calibri" w:cs="Calibri"/>
                <w:b/>
                <w:bCs/>
                <w:color w:val="000000"/>
              </w:rPr>
              <w:t>US</w:t>
            </w:r>
            <w:r>
              <w:rPr>
                <w:rFonts w:ascii="Calibri" w:eastAsia="Times New Roman" w:hAnsi="Calibri" w:cs="Calibri"/>
                <w:b/>
                <w:bCs/>
                <w:color w:val="000000"/>
              </w:rPr>
              <w:t xml:space="preserve"> </w:t>
            </w:r>
            <w:r w:rsidRPr="00FC0485">
              <w:rPr>
                <w:rFonts w:ascii="Calibri" w:eastAsia="Times New Roman" w:hAnsi="Calibri" w:cs="Calibri"/>
                <w:b/>
                <w:bCs/>
                <w:color w:val="000000"/>
              </w:rPr>
              <w:t>Inf.</w:t>
            </w:r>
          </w:p>
        </w:tc>
        <w:tc>
          <w:tcPr>
            <w:tcW w:w="1134" w:type="dxa"/>
            <w:noWrap/>
            <w:hideMark/>
          </w:tcPr>
          <w:p w14:paraId="2586A3A8" w14:textId="1E08C2E0" w:rsidR="00FF01AC" w:rsidRPr="00FC0485" w:rsidRDefault="00FF01AC" w:rsidP="00545577">
            <w:pPr>
              <w:jc w:val="center"/>
              <w:rPr>
                <w:rFonts w:ascii="Calibri" w:eastAsia="Times New Roman" w:hAnsi="Calibri" w:cs="Calibri"/>
                <w:b/>
                <w:bCs/>
                <w:color w:val="000000"/>
              </w:rPr>
            </w:pPr>
            <w:r w:rsidRPr="00FC0485">
              <w:rPr>
                <w:rFonts w:ascii="Calibri" w:eastAsia="Times New Roman" w:hAnsi="Calibri" w:cs="Calibri"/>
                <w:b/>
                <w:bCs/>
                <w:color w:val="000000"/>
              </w:rPr>
              <w:t>China</w:t>
            </w:r>
            <w:r w:rsidR="00596B96">
              <w:rPr>
                <w:rFonts w:ascii="Calibri" w:eastAsia="Times New Roman" w:hAnsi="Calibri" w:cs="Calibri"/>
                <w:b/>
                <w:bCs/>
                <w:color w:val="000000"/>
              </w:rPr>
              <w:t xml:space="preserve"> </w:t>
            </w:r>
            <w:r w:rsidR="00596B96" w:rsidRPr="00FC0485">
              <w:rPr>
                <w:rFonts w:ascii="Calibri" w:eastAsia="Times New Roman" w:hAnsi="Calibri" w:cs="Calibri"/>
                <w:b/>
                <w:bCs/>
                <w:color w:val="000000"/>
              </w:rPr>
              <w:t>Inf.</w:t>
            </w:r>
          </w:p>
        </w:tc>
        <w:tc>
          <w:tcPr>
            <w:tcW w:w="1556" w:type="dxa"/>
            <w:noWrap/>
            <w:hideMark/>
          </w:tcPr>
          <w:p w14:paraId="394129F1" w14:textId="5BD22C08" w:rsidR="00FF01AC" w:rsidRPr="00FC0485" w:rsidRDefault="00596B96" w:rsidP="00545577">
            <w:pPr>
              <w:jc w:val="center"/>
              <w:rPr>
                <w:rFonts w:ascii="Calibri" w:eastAsia="Times New Roman" w:hAnsi="Calibri" w:cs="Calibri"/>
                <w:b/>
                <w:bCs/>
                <w:color w:val="000000"/>
              </w:rPr>
            </w:pPr>
            <w:r>
              <w:rPr>
                <w:rFonts w:ascii="Calibri" w:eastAsia="Times New Roman" w:hAnsi="Calibri" w:cs="Calibri"/>
                <w:b/>
                <w:bCs/>
                <w:color w:val="000000"/>
              </w:rPr>
              <w:t>E</w:t>
            </w:r>
            <w:r w:rsidR="00FF01AC" w:rsidRPr="00FC0485">
              <w:rPr>
                <w:rFonts w:ascii="Calibri" w:eastAsia="Times New Roman" w:hAnsi="Calibri" w:cs="Calibri"/>
                <w:b/>
                <w:bCs/>
                <w:color w:val="000000"/>
              </w:rPr>
              <w:t>urozon</w:t>
            </w:r>
            <w:r>
              <w:rPr>
                <w:rFonts w:ascii="Calibri" w:eastAsia="Times New Roman" w:hAnsi="Calibri" w:cs="Calibri"/>
                <w:b/>
                <w:bCs/>
                <w:color w:val="000000"/>
              </w:rPr>
              <w:t xml:space="preserve">e </w:t>
            </w:r>
            <w:r w:rsidRPr="00FC0485">
              <w:rPr>
                <w:rFonts w:ascii="Calibri" w:eastAsia="Times New Roman" w:hAnsi="Calibri" w:cs="Calibri"/>
                <w:b/>
                <w:bCs/>
                <w:color w:val="000000"/>
              </w:rPr>
              <w:t>Inf.</w:t>
            </w:r>
          </w:p>
        </w:tc>
        <w:tc>
          <w:tcPr>
            <w:tcW w:w="1421" w:type="dxa"/>
            <w:noWrap/>
            <w:hideMark/>
          </w:tcPr>
          <w:p w14:paraId="13F2C816" w14:textId="1E7218FA" w:rsidR="00FF01AC" w:rsidRPr="00091ECA" w:rsidRDefault="00FF01AC" w:rsidP="00545577">
            <w:pPr>
              <w:jc w:val="center"/>
              <w:rPr>
                <w:rFonts w:ascii="Calibri" w:eastAsia="Times New Roman" w:hAnsi="Calibri" w:cs="Calibri"/>
                <w:b/>
                <w:bCs/>
                <w:color w:val="000000"/>
              </w:rPr>
            </w:pPr>
            <w:r w:rsidRPr="00091ECA">
              <w:rPr>
                <w:rFonts w:ascii="Calibri" w:eastAsia="Times New Roman" w:hAnsi="Calibri" w:cs="Calibri"/>
                <w:b/>
                <w:bCs/>
                <w:color w:val="000000"/>
              </w:rPr>
              <w:t>Chile</w:t>
            </w:r>
            <w:r w:rsidR="00596B96">
              <w:rPr>
                <w:rFonts w:ascii="Calibri" w:eastAsia="Times New Roman" w:hAnsi="Calibri" w:cs="Calibri"/>
                <w:b/>
                <w:bCs/>
                <w:color w:val="000000"/>
              </w:rPr>
              <w:t xml:space="preserve"> </w:t>
            </w:r>
            <w:r w:rsidR="00596B96" w:rsidRPr="00FC0485">
              <w:rPr>
                <w:rFonts w:ascii="Calibri" w:eastAsia="Times New Roman" w:hAnsi="Calibri" w:cs="Calibri"/>
                <w:b/>
                <w:bCs/>
                <w:color w:val="000000"/>
              </w:rPr>
              <w:t xml:space="preserve">Inf. </w:t>
            </w:r>
            <w:r w:rsidRPr="00091ECA">
              <w:rPr>
                <w:rFonts w:ascii="Calibri" w:eastAsia="Times New Roman" w:hAnsi="Calibri" w:cs="Calibri"/>
                <w:b/>
                <w:bCs/>
                <w:color w:val="000000"/>
              </w:rPr>
              <w:t xml:space="preserve"> </w:t>
            </w:r>
            <m:oMath>
              <m:sSub>
                <m:sSubPr>
                  <m:ctrlPr>
                    <w:rPr>
                      <w:rFonts w:ascii="Cambria Math" w:eastAsia="Times New Roman" w:hAnsi="Cambria Math" w:cs="Calibri"/>
                      <w:b/>
                      <w:bCs/>
                      <w:color w:val="000000"/>
                    </w:rPr>
                  </m:ctrlPr>
                </m:sSubPr>
                <m:e>
                  <m:r>
                    <m:rPr>
                      <m:sty m:val="b"/>
                    </m:rPr>
                    <w:rPr>
                      <w:rFonts w:ascii="Cambria Math" w:eastAsia="Times New Roman" w:hAnsi="Cambria Math" w:cs="Calibri"/>
                      <w:color w:val="000000"/>
                    </w:rPr>
                    <m:t>L</m:t>
                  </m:r>
                </m:e>
                <m:sub>
                  <m:r>
                    <m:rPr>
                      <m:sty m:val="b"/>
                    </m:rPr>
                    <w:rPr>
                      <w:rFonts w:ascii="Cambria Math" w:eastAsia="Times New Roman" w:hAnsi="Cambria Math" w:cs="Calibri"/>
                      <w:color w:val="000000"/>
                    </w:rPr>
                    <m:t>1</m:t>
                  </m:r>
                </m:sub>
              </m:sSub>
            </m:oMath>
          </w:p>
        </w:tc>
        <w:tc>
          <w:tcPr>
            <w:tcW w:w="1187" w:type="dxa"/>
            <w:noWrap/>
            <w:hideMark/>
          </w:tcPr>
          <w:p w14:paraId="63F2BD0C" w14:textId="38763C03" w:rsidR="00FF01AC" w:rsidRPr="00FC0485" w:rsidRDefault="00FF01AC" w:rsidP="00545577">
            <w:pPr>
              <w:jc w:val="center"/>
              <w:rPr>
                <w:rFonts w:ascii="Calibri" w:eastAsia="Times New Roman" w:hAnsi="Calibri" w:cs="Calibri"/>
                <w:b/>
                <w:bCs/>
                <w:color w:val="000000"/>
              </w:rPr>
            </w:pPr>
            <w:r w:rsidRPr="00FC0485">
              <w:rPr>
                <w:rFonts w:ascii="Calibri" w:eastAsia="Times New Roman" w:hAnsi="Calibri" w:cs="Calibri"/>
                <w:b/>
                <w:bCs/>
                <w:color w:val="000000"/>
              </w:rPr>
              <w:t>Simula</w:t>
            </w:r>
            <w:r w:rsidR="00596B96">
              <w:rPr>
                <w:rFonts w:ascii="Calibri" w:eastAsia="Times New Roman" w:hAnsi="Calibri" w:cs="Calibri"/>
                <w:b/>
                <w:bCs/>
                <w:color w:val="000000"/>
              </w:rPr>
              <w:t xml:space="preserve">tion: </w:t>
            </w:r>
            <w:r w:rsidR="00596B96" w:rsidRPr="00596B96">
              <w:rPr>
                <w:rFonts w:ascii="Calibri" w:eastAsia="Times New Roman" w:hAnsi="Calibri" w:cs="Calibri"/>
                <w:b/>
                <w:bCs/>
                <w:color w:val="000000"/>
              </w:rPr>
              <w:t xml:space="preserve">Predicted value </w:t>
            </w:r>
          </w:p>
        </w:tc>
      </w:tr>
      <w:tr w:rsidR="00FF01AC" w:rsidRPr="00E27560" w14:paraId="658C2357" w14:textId="77777777" w:rsidTr="00DE3569">
        <w:trPr>
          <w:trHeight w:val="325"/>
        </w:trPr>
        <w:tc>
          <w:tcPr>
            <w:tcW w:w="1876" w:type="dxa"/>
            <w:noWrap/>
            <w:hideMark/>
          </w:tcPr>
          <w:p w14:paraId="4EBCC29A" w14:textId="77777777" w:rsidR="00FF01AC" w:rsidRPr="00E27560" w:rsidRDefault="00FF01AC" w:rsidP="00545577">
            <w:pPr>
              <w:jc w:val="center"/>
              <w:rPr>
                <w:rFonts w:ascii="Calibri" w:eastAsia="Times New Roman" w:hAnsi="Calibri" w:cs="Calibri"/>
                <w:color w:val="000000"/>
              </w:rPr>
            </w:pPr>
            <w:r>
              <w:rPr>
                <w:rFonts w:ascii="Calibri" w:hAnsi="Calibri" w:cs="Calibri"/>
                <w:color w:val="000000"/>
              </w:rPr>
              <w:t>0.86667%</w:t>
            </w:r>
          </w:p>
        </w:tc>
        <w:tc>
          <w:tcPr>
            <w:tcW w:w="1098" w:type="dxa"/>
            <w:noWrap/>
            <w:hideMark/>
          </w:tcPr>
          <w:p w14:paraId="3A827B6B" w14:textId="77777777" w:rsidR="00FF01AC" w:rsidRPr="00E27560" w:rsidRDefault="00FF01AC" w:rsidP="00545577">
            <w:pPr>
              <w:jc w:val="center"/>
              <w:rPr>
                <w:rFonts w:ascii="Calibri" w:eastAsia="Times New Roman" w:hAnsi="Calibri" w:cs="Calibri"/>
                <w:color w:val="000000"/>
              </w:rPr>
            </w:pPr>
            <w:r>
              <w:rPr>
                <w:rFonts w:ascii="Calibri" w:hAnsi="Calibri" w:cs="Calibri"/>
                <w:color w:val="000000"/>
              </w:rPr>
              <w:t>0.30060%</w:t>
            </w:r>
          </w:p>
        </w:tc>
        <w:tc>
          <w:tcPr>
            <w:tcW w:w="1132" w:type="dxa"/>
            <w:noWrap/>
            <w:hideMark/>
          </w:tcPr>
          <w:p w14:paraId="3AC579CF" w14:textId="77777777" w:rsidR="00FF01AC" w:rsidRPr="00E27560" w:rsidRDefault="00FF01AC" w:rsidP="00545577">
            <w:pPr>
              <w:jc w:val="center"/>
              <w:rPr>
                <w:rFonts w:ascii="Calibri" w:eastAsia="Times New Roman" w:hAnsi="Calibri" w:cs="Calibri"/>
                <w:color w:val="000000"/>
              </w:rPr>
            </w:pPr>
            <w:r>
              <w:rPr>
                <w:rFonts w:ascii="Calibri" w:hAnsi="Calibri" w:cs="Calibri"/>
                <w:color w:val="000000"/>
              </w:rPr>
              <w:t>0.27157%</w:t>
            </w:r>
          </w:p>
        </w:tc>
        <w:tc>
          <w:tcPr>
            <w:tcW w:w="1134" w:type="dxa"/>
            <w:noWrap/>
            <w:hideMark/>
          </w:tcPr>
          <w:p w14:paraId="44DECE0B" w14:textId="77777777" w:rsidR="00FF01AC" w:rsidRPr="00E27560" w:rsidRDefault="00FF01AC" w:rsidP="00545577">
            <w:pPr>
              <w:jc w:val="center"/>
              <w:rPr>
                <w:rFonts w:ascii="Calibri" w:eastAsia="Times New Roman" w:hAnsi="Calibri" w:cs="Calibri"/>
                <w:color w:val="000000"/>
              </w:rPr>
            </w:pPr>
            <w:r>
              <w:rPr>
                <w:rFonts w:ascii="Calibri" w:hAnsi="Calibri" w:cs="Calibri"/>
                <w:color w:val="000000"/>
              </w:rPr>
              <w:t>0.01605%</w:t>
            </w:r>
          </w:p>
        </w:tc>
        <w:tc>
          <w:tcPr>
            <w:tcW w:w="1556" w:type="dxa"/>
            <w:noWrap/>
            <w:hideMark/>
          </w:tcPr>
          <w:p w14:paraId="32935FA7" w14:textId="77777777" w:rsidR="00FF01AC" w:rsidRPr="00E27560" w:rsidRDefault="00FF01AC" w:rsidP="00545577">
            <w:pPr>
              <w:jc w:val="center"/>
              <w:rPr>
                <w:rFonts w:ascii="Calibri" w:eastAsia="Times New Roman" w:hAnsi="Calibri" w:cs="Calibri"/>
                <w:color w:val="000000"/>
              </w:rPr>
            </w:pPr>
            <w:r>
              <w:rPr>
                <w:rFonts w:ascii="Calibri" w:hAnsi="Calibri" w:cs="Calibri"/>
                <w:color w:val="000000"/>
              </w:rPr>
              <w:t>0.02133%</w:t>
            </w:r>
          </w:p>
        </w:tc>
        <w:tc>
          <w:tcPr>
            <w:tcW w:w="1421" w:type="dxa"/>
            <w:noWrap/>
            <w:hideMark/>
          </w:tcPr>
          <w:p w14:paraId="5AC95379" w14:textId="77777777" w:rsidR="00FF01AC" w:rsidRPr="00E27560" w:rsidRDefault="00FF01AC" w:rsidP="00545577">
            <w:pPr>
              <w:jc w:val="center"/>
              <w:rPr>
                <w:rFonts w:ascii="Calibri" w:eastAsia="Times New Roman" w:hAnsi="Calibri" w:cs="Calibri"/>
                <w:color w:val="000000"/>
              </w:rPr>
            </w:pPr>
            <w:r>
              <w:rPr>
                <w:rFonts w:ascii="Calibri" w:hAnsi="Calibri" w:cs="Calibri"/>
                <w:color w:val="000000"/>
              </w:rPr>
              <w:t>0.33000%</w:t>
            </w:r>
          </w:p>
        </w:tc>
        <w:tc>
          <w:tcPr>
            <w:tcW w:w="1187" w:type="dxa"/>
            <w:noWrap/>
            <w:hideMark/>
          </w:tcPr>
          <w:p w14:paraId="78941F92" w14:textId="77777777" w:rsidR="00FF01AC" w:rsidRPr="00E27560" w:rsidRDefault="00FF01AC" w:rsidP="00545577">
            <w:pPr>
              <w:jc w:val="center"/>
              <w:rPr>
                <w:rFonts w:ascii="Calibri" w:eastAsia="Times New Roman" w:hAnsi="Calibri" w:cs="Calibri"/>
                <w:color w:val="000000"/>
              </w:rPr>
            </w:pPr>
            <w:r>
              <w:rPr>
                <w:rFonts w:ascii="Calibri" w:hAnsi="Calibri" w:cs="Calibri"/>
                <w:color w:val="000000"/>
              </w:rPr>
              <w:t>0.93955%</w:t>
            </w:r>
          </w:p>
        </w:tc>
      </w:tr>
      <w:tr w:rsidR="00FF01AC" w:rsidRPr="00E27560" w14:paraId="4C04C6C4" w14:textId="77777777" w:rsidTr="00DE3569">
        <w:trPr>
          <w:trHeight w:val="325"/>
        </w:trPr>
        <w:tc>
          <w:tcPr>
            <w:tcW w:w="1876" w:type="dxa"/>
            <w:noWrap/>
            <w:hideMark/>
          </w:tcPr>
          <w:p w14:paraId="4C34B1D2" w14:textId="0648BBE8" w:rsidR="00FF01AC" w:rsidRPr="00FC0485" w:rsidRDefault="00423CCF" w:rsidP="00545577">
            <w:pPr>
              <w:jc w:val="center"/>
              <w:rPr>
                <w:rFonts w:ascii="Calibri" w:eastAsia="Times New Roman" w:hAnsi="Calibri" w:cs="Calibri"/>
                <w:b/>
                <w:bCs/>
                <w:color w:val="000000"/>
              </w:rPr>
            </w:pPr>
            <w:r>
              <w:rPr>
                <w:rFonts w:ascii="Calibri" w:eastAsia="Times New Roman" w:hAnsi="Calibri" w:cs="Calibri"/>
                <w:b/>
                <w:bCs/>
                <w:color w:val="000000"/>
              </w:rPr>
              <w:t>Ave</w:t>
            </w:r>
            <w:r w:rsidR="00985FA4">
              <w:rPr>
                <w:rFonts w:ascii="Calibri" w:eastAsia="Times New Roman" w:hAnsi="Calibri" w:cs="Calibri"/>
                <w:b/>
                <w:bCs/>
                <w:color w:val="000000"/>
              </w:rPr>
              <w:t>r</w:t>
            </w:r>
            <w:r w:rsidR="00A01508">
              <w:rPr>
                <w:rFonts w:ascii="Calibri" w:eastAsia="Times New Roman" w:hAnsi="Calibri" w:cs="Calibri"/>
                <w:b/>
                <w:bCs/>
                <w:color w:val="000000"/>
              </w:rPr>
              <w:t>age</w:t>
            </w:r>
            <w:r>
              <w:rPr>
                <w:rFonts w:ascii="Calibri" w:eastAsia="Times New Roman" w:hAnsi="Calibri" w:cs="Calibri"/>
                <w:b/>
                <w:bCs/>
                <w:color w:val="000000"/>
              </w:rPr>
              <w:t xml:space="preserve"> </w:t>
            </w:r>
            <w:r w:rsidRPr="00FC0485">
              <w:rPr>
                <w:rFonts w:ascii="Calibri" w:eastAsia="Times New Roman" w:hAnsi="Calibri" w:cs="Calibri"/>
                <w:b/>
                <w:bCs/>
                <w:color w:val="000000"/>
              </w:rPr>
              <w:t xml:space="preserve">Inf. </w:t>
            </w:r>
            <w:r>
              <w:rPr>
                <w:rFonts w:ascii="Calibri" w:eastAsia="Times New Roman" w:hAnsi="Calibri" w:cs="Calibri"/>
                <w:b/>
                <w:bCs/>
                <w:color w:val="000000"/>
              </w:rPr>
              <w:t>2021</w:t>
            </w:r>
          </w:p>
        </w:tc>
        <w:tc>
          <w:tcPr>
            <w:tcW w:w="1098" w:type="dxa"/>
            <w:noWrap/>
            <w:hideMark/>
          </w:tcPr>
          <w:p w14:paraId="1C96B0BD" w14:textId="64FB0899" w:rsidR="00FF01AC" w:rsidRPr="00FC0485" w:rsidRDefault="00596B96" w:rsidP="00545577">
            <w:pPr>
              <w:jc w:val="center"/>
              <w:rPr>
                <w:rFonts w:ascii="Calibri" w:eastAsia="Times New Roman" w:hAnsi="Calibri" w:cs="Calibri"/>
                <w:b/>
                <w:bCs/>
                <w:color w:val="000000"/>
              </w:rPr>
            </w:pPr>
            <m:oMathPara>
              <m:oMath>
                <m:r>
                  <m:rPr>
                    <m:sty m:val="bi"/>
                  </m:rPr>
                  <w:rPr>
                    <w:rFonts w:ascii="Cambria Math" w:eastAsia="Times New Roman" w:hAnsi="Cambria Math" w:cs="Calibri"/>
                    <w:color w:val="000000"/>
                  </w:rPr>
                  <m:t>∆E</m:t>
                </m:r>
              </m:oMath>
            </m:oMathPara>
          </w:p>
        </w:tc>
        <w:tc>
          <w:tcPr>
            <w:tcW w:w="1132" w:type="dxa"/>
            <w:noWrap/>
            <w:hideMark/>
          </w:tcPr>
          <w:p w14:paraId="5C070844" w14:textId="6141B7A3" w:rsidR="00FF01AC" w:rsidRPr="00FC0485" w:rsidRDefault="00FF01AC" w:rsidP="00545577">
            <w:pPr>
              <w:jc w:val="center"/>
              <w:rPr>
                <w:rFonts w:ascii="Calibri" w:eastAsia="Times New Roman" w:hAnsi="Calibri" w:cs="Calibri"/>
                <w:b/>
                <w:bCs/>
                <w:color w:val="000000"/>
              </w:rPr>
            </w:pPr>
            <w:r w:rsidRPr="00FC0485">
              <w:rPr>
                <w:rFonts w:ascii="Calibri" w:eastAsia="Times New Roman" w:hAnsi="Calibri" w:cs="Calibri"/>
                <w:b/>
                <w:bCs/>
                <w:color w:val="000000"/>
              </w:rPr>
              <w:t>US</w:t>
            </w:r>
            <w:r w:rsidR="00596B96">
              <w:rPr>
                <w:rFonts w:ascii="Calibri" w:eastAsia="Times New Roman" w:hAnsi="Calibri" w:cs="Calibri"/>
                <w:b/>
                <w:bCs/>
                <w:color w:val="000000"/>
              </w:rPr>
              <w:t xml:space="preserve"> </w:t>
            </w:r>
            <w:r w:rsidR="00596B96" w:rsidRPr="00FC0485">
              <w:rPr>
                <w:rFonts w:ascii="Calibri" w:eastAsia="Times New Roman" w:hAnsi="Calibri" w:cs="Calibri"/>
                <w:b/>
                <w:bCs/>
                <w:color w:val="000000"/>
              </w:rPr>
              <w:t>Inf.</w:t>
            </w:r>
          </w:p>
        </w:tc>
        <w:tc>
          <w:tcPr>
            <w:tcW w:w="1134" w:type="dxa"/>
            <w:noWrap/>
            <w:hideMark/>
          </w:tcPr>
          <w:p w14:paraId="14D50F18" w14:textId="63C41159" w:rsidR="00FF01AC" w:rsidRPr="00FC0485" w:rsidRDefault="00FF01AC" w:rsidP="00545577">
            <w:pPr>
              <w:jc w:val="center"/>
              <w:rPr>
                <w:rFonts w:ascii="Calibri" w:eastAsia="Times New Roman" w:hAnsi="Calibri" w:cs="Calibri"/>
                <w:b/>
                <w:bCs/>
                <w:color w:val="000000"/>
              </w:rPr>
            </w:pPr>
            <w:r w:rsidRPr="00FC0485">
              <w:rPr>
                <w:rFonts w:ascii="Calibri" w:eastAsia="Times New Roman" w:hAnsi="Calibri" w:cs="Calibri"/>
                <w:b/>
                <w:bCs/>
                <w:color w:val="000000"/>
              </w:rPr>
              <w:t>China</w:t>
            </w:r>
            <w:r w:rsidR="00596B96">
              <w:rPr>
                <w:rFonts w:ascii="Calibri" w:eastAsia="Times New Roman" w:hAnsi="Calibri" w:cs="Calibri"/>
                <w:b/>
                <w:bCs/>
                <w:color w:val="000000"/>
              </w:rPr>
              <w:t xml:space="preserve"> </w:t>
            </w:r>
            <w:r w:rsidR="00596B96" w:rsidRPr="00FC0485">
              <w:rPr>
                <w:rFonts w:ascii="Calibri" w:eastAsia="Times New Roman" w:hAnsi="Calibri" w:cs="Calibri"/>
                <w:b/>
                <w:bCs/>
                <w:color w:val="000000"/>
              </w:rPr>
              <w:t>Inf.</w:t>
            </w:r>
          </w:p>
        </w:tc>
        <w:tc>
          <w:tcPr>
            <w:tcW w:w="1556" w:type="dxa"/>
            <w:noWrap/>
            <w:hideMark/>
          </w:tcPr>
          <w:p w14:paraId="4CB0BEE5" w14:textId="612EC939" w:rsidR="00FF01AC" w:rsidRPr="00FC0485" w:rsidRDefault="00596B96" w:rsidP="00545577">
            <w:pPr>
              <w:jc w:val="center"/>
              <w:rPr>
                <w:rFonts w:ascii="Calibri" w:eastAsia="Times New Roman" w:hAnsi="Calibri" w:cs="Calibri"/>
                <w:b/>
                <w:bCs/>
                <w:color w:val="000000"/>
              </w:rPr>
            </w:pPr>
            <w:r>
              <w:rPr>
                <w:rFonts w:ascii="Calibri" w:eastAsia="Times New Roman" w:hAnsi="Calibri" w:cs="Calibri"/>
                <w:b/>
                <w:bCs/>
                <w:color w:val="000000"/>
              </w:rPr>
              <w:t>E</w:t>
            </w:r>
            <w:r w:rsidR="00FF01AC" w:rsidRPr="00FC0485">
              <w:rPr>
                <w:rFonts w:ascii="Calibri" w:eastAsia="Times New Roman" w:hAnsi="Calibri" w:cs="Calibri"/>
                <w:b/>
                <w:bCs/>
                <w:color w:val="000000"/>
              </w:rPr>
              <w:t>urozon</w:t>
            </w:r>
            <w:r>
              <w:rPr>
                <w:rFonts w:ascii="Calibri" w:eastAsia="Times New Roman" w:hAnsi="Calibri" w:cs="Calibri"/>
                <w:b/>
                <w:bCs/>
                <w:color w:val="000000"/>
              </w:rPr>
              <w:t xml:space="preserve">e </w:t>
            </w:r>
            <w:r w:rsidRPr="00FC0485">
              <w:rPr>
                <w:rFonts w:ascii="Calibri" w:eastAsia="Times New Roman" w:hAnsi="Calibri" w:cs="Calibri"/>
                <w:b/>
                <w:bCs/>
                <w:color w:val="000000"/>
              </w:rPr>
              <w:t>Inf.</w:t>
            </w:r>
          </w:p>
        </w:tc>
        <w:tc>
          <w:tcPr>
            <w:tcW w:w="1421" w:type="dxa"/>
            <w:noWrap/>
            <w:hideMark/>
          </w:tcPr>
          <w:p w14:paraId="3398335B" w14:textId="593FEE2F" w:rsidR="00FF01AC" w:rsidRPr="00FC0485" w:rsidRDefault="00FF01AC" w:rsidP="00545577">
            <w:pPr>
              <w:jc w:val="center"/>
              <w:rPr>
                <w:rFonts w:ascii="Calibri" w:eastAsia="Times New Roman" w:hAnsi="Calibri" w:cs="Calibri"/>
                <w:b/>
                <w:bCs/>
                <w:color w:val="000000"/>
              </w:rPr>
            </w:pPr>
            <w:r w:rsidRPr="00FC0485">
              <w:rPr>
                <w:rFonts w:ascii="Calibri" w:eastAsia="Times New Roman" w:hAnsi="Calibri" w:cs="Calibri"/>
                <w:b/>
                <w:bCs/>
                <w:color w:val="000000"/>
              </w:rPr>
              <w:t>Chile</w:t>
            </w:r>
            <w:r w:rsidR="00596B96">
              <w:rPr>
                <w:rFonts w:ascii="Calibri" w:eastAsia="Times New Roman" w:hAnsi="Calibri" w:cs="Calibri"/>
                <w:b/>
                <w:bCs/>
                <w:color w:val="000000"/>
              </w:rPr>
              <w:t xml:space="preserve"> </w:t>
            </w:r>
            <w:r w:rsidR="00596B96" w:rsidRPr="00FC0485">
              <w:rPr>
                <w:rFonts w:ascii="Calibri" w:eastAsia="Times New Roman" w:hAnsi="Calibri" w:cs="Calibri"/>
                <w:b/>
                <w:bCs/>
                <w:color w:val="000000"/>
              </w:rPr>
              <w:t xml:space="preserve">Inf. </w:t>
            </w:r>
            <w:r w:rsidRPr="00FC0485">
              <w:rPr>
                <w:rFonts w:ascii="Calibri" w:eastAsia="Times New Roman" w:hAnsi="Calibri" w:cs="Calibri"/>
                <w:b/>
                <w:bCs/>
                <w:color w:val="000000"/>
              </w:rPr>
              <w:t xml:space="preserve"> </w:t>
            </w:r>
            <m:oMath>
              <m:sSub>
                <m:sSubPr>
                  <m:ctrlPr>
                    <w:rPr>
                      <w:rFonts w:ascii="Cambria Math" w:eastAsia="Times New Roman" w:hAnsi="Cambria Math" w:cs="Calibri"/>
                      <w:b/>
                      <w:bCs/>
                      <w:color w:val="000000"/>
                    </w:rPr>
                  </m:ctrlPr>
                </m:sSubPr>
                <m:e>
                  <m:r>
                    <m:rPr>
                      <m:sty m:val="b"/>
                    </m:rPr>
                    <w:rPr>
                      <w:rFonts w:ascii="Cambria Math" w:eastAsia="Times New Roman" w:hAnsi="Cambria Math" w:cs="Calibri"/>
                      <w:color w:val="000000"/>
                    </w:rPr>
                    <m:t>L</m:t>
                  </m:r>
                </m:e>
                <m:sub>
                  <m:r>
                    <m:rPr>
                      <m:sty m:val="b"/>
                    </m:rPr>
                    <w:rPr>
                      <w:rFonts w:ascii="Cambria Math" w:eastAsia="Times New Roman" w:hAnsi="Cambria Math" w:cs="Calibri"/>
                      <w:color w:val="000000"/>
                    </w:rPr>
                    <m:t>1</m:t>
                  </m:r>
                </m:sub>
              </m:sSub>
            </m:oMath>
          </w:p>
        </w:tc>
        <w:tc>
          <w:tcPr>
            <w:tcW w:w="1187" w:type="dxa"/>
            <w:noWrap/>
            <w:hideMark/>
          </w:tcPr>
          <w:p w14:paraId="70F6ED91" w14:textId="114F65AD" w:rsidR="00FF01AC" w:rsidRPr="00FC0485" w:rsidRDefault="00596B96" w:rsidP="00545577">
            <w:pPr>
              <w:jc w:val="center"/>
              <w:rPr>
                <w:rFonts w:ascii="Calibri" w:eastAsia="Times New Roman" w:hAnsi="Calibri" w:cs="Calibri"/>
                <w:b/>
                <w:bCs/>
                <w:color w:val="000000"/>
              </w:rPr>
            </w:pPr>
            <w:r w:rsidRPr="00FC0485">
              <w:rPr>
                <w:rFonts w:ascii="Calibri" w:eastAsia="Times New Roman" w:hAnsi="Calibri" w:cs="Calibri"/>
                <w:b/>
                <w:bCs/>
                <w:color w:val="000000"/>
              </w:rPr>
              <w:t>Simula</w:t>
            </w:r>
            <w:r>
              <w:rPr>
                <w:rFonts w:ascii="Calibri" w:eastAsia="Times New Roman" w:hAnsi="Calibri" w:cs="Calibri"/>
                <w:b/>
                <w:bCs/>
                <w:color w:val="000000"/>
              </w:rPr>
              <w:t>tion: P</w:t>
            </w:r>
            <w:r w:rsidRPr="00596B96">
              <w:rPr>
                <w:rFonts w:ascii="Calibri" w:eastAsia="Times New Roman" w:hAnsi="Calibri" w:cs="Calibri"/>
                <w:b/>
                <w:bCs/>
                <w:color w:val="000000"/>
              </w:rPr>
              <w:t>redicted value</w:t>
            </w:r>
          </w:p>
        </w:tc>
      </w:tr>
      <w:tr w:rsidR="00FF01AC" w:rsidRPr="00E27560" w14:paraId="215E4C20" w14:textId="77777777" w:rsidTr="00DE3569">
        <w:trPr>
          <w:trHeight w:val="325"/>
        </w:trPr>
        <w:tc>
          <w:tcPr>
            <w:tcW w:w="1876" w:type="dxa"/>
            <w:noWrap/>
            <w:hideMark/>
          </w:tcPr>
          <w:p w14:paraId="6E4A270A" w14:textId="77777777" w:rsidR="00FF01AC" w:rsidRPr="00E27560" w:rsidRDefault="00FF01AC" w:rsidP="00545577">
            <w:pPr>
              <w:jc w:val="center"/>
              <w:rPr>
                <w:rFonts w:ascii="Calibri" w:eastAsia="Times New Roman" w:hAnsi="Calibri" w:cs="Calibri"/>
                <w:color w:val="000000"/>
              </w:rPr>
            </w:pPr>
            <w:r>
              <w:rPr>
                <w:rFonts w:ascii="Calibri" w:hAnsi="Calibri" w:cs="Calibri"/>
                <w:color w:val="000000"/>
              </w:rPr>
              <w:t>0.59167%</w:t>
            </w:r>
          </w:p>
        </w:tc>
        <w:tc>
          <w:tcPr>
            <w:tcW w:w="1098" w:type="dxa"/>
            <w:noWrap/>
            <w:hideMark/>
          </w:tcPr>
          <w:p w14:paraId="2DC8A2AB" w14:textId="77777777" w:rsidR="00FF01AC" w:rsidRPr="00E27560" w:rsidRDefault="00FF01AC" w:rsidP="00545577">
            <w:pPr>
              <w:jc w:val="center"/>
              <w:rPr>
                <w:rFonts w:ascii="Calibri" w:eastAsia="Times New Roman" w:hAnsi="Calibri" w:cs="Calibri"/>
                <w:color w:val="000000"/>
              </w:rPr>
            </w:pPr>
            <w:r>
              <w:rPr>
                <w:rFonts w:ascii="Calibri" w:hAnsi="Calibri" w:cs="Calibri"/>
                <w:color w:val="000000"/>
              </w:rPr>
              <w:t>0.13601%</w:t>
            </w:r>
          </w:p>
        </w:tc>
        <w:tc>
          <w:tcPr>
            <w:tcW w:w="1132" w:type="dxa"/>
            <w:noWrap/>
            <w:hideMark/>
          </w:tcPr>
          <w:p w14:paraId="051553AA" w14:textId="77777777" w:rsidR="00FF01AC" w:rsidRPr="00E27560" w:rsidRDefault="00FF01AC" w:rsidP="00545577">
            <w:pPr>
              <w:jc w:val="center"/>
              <w:rPr>
                <w:rFonts w:ascii="Calibri" w:eastAsia="Times New Roman" w:hAnsi="Calibri" w:cs="Calibri"/>
                <w:color w:val="000000"/>
              </w:rPr>
            </w:pPr>
            <w:r>
              <w:rPr>
                <w:rFonts w:ascii="Calibri" w:hAnsi="Calibri" w:cs="Calibri"/>
                <w:color w:val="000000"/>
              </w:rPr>
              <w:t>0.28427%</w:t>
            </w:r>
          </w:p>
        </w:tc>
        <w:tc>
          <w:tcPr>
            <w:tcW w:w="1134" w:type="dxa"/>
            <w:noWrap/>
            <w:hideMark/>
          </w:tcPr>
          <w:p w14:paraId="1E37568F" w14:textId="77777777" w:rsidR="00FF01AC" w:rsidRPr="00E27560" w:rsidRDefault="00FF01AC" w:rsidP="00545577">
            <w:pPr>
              <w:jc w:val="center"/>
              <w:rPr>
                <w:rFonts w:ascii="Calibri" w:eastAsia="Times New Roman" w:hAnsi="Calibri" w:cs="Calibri"/>
                <w:color w:val="000000"/>
              </w:rPr>
            </w:pPr>
            <w:r>
              <w:rPr>
                <w:rFonts w:ascii="Calibri" w:hAnsi="Calibri" w:cs="Calibri"/>
                <w:color w:val="000000"/>
              </w:rPr>
              <w:t>0.00718%</w:t>
            </w:r>
          </w:p>
        </w:tc>
        <w:tc>
          <w:tcPr>
            <w:tcW w:w="1556" w:type="dxa"/>
            <w:noWrap/>
            <w:hideMark/>
          </w:tcPr>
          <w:p w14:paraId="4C006F76" w14:textId="77777777" w:rsidR="00FF01AC" w:rsidRPr="00E27560" w:rsidRDefault="00FF01AC" w:rsidP="00545577">
            <w:pPr>
              <w:jc w:val="center"/>
              <w:rPr>
                <w:rFonts w:ascii="Calibri" w:eastAsia="Times New Roman" w:hAnsi="Calibri" w:cs="Calibri"/>
                <w:color w:val="000000"/>
              </w:rPr>
            </w:pPr>
            <w:r>
              <w:rPr>
                <w:rFonts w:ascii="Calibri" w:hAnsi="Calibri" w:cs="Calibri"/>
                <w:color w:val="000000"/>
              </w:rPr>
              <w:t>0.01633%</w:t>
            </w:r>
          </w:p>
        </w:tc>
        <w:tc>
          <w:tcPr>
            <w:tcW w:w="1421" w:type="dxa"/>
            <w:noWrap/>
            <w:hideMark/>
          </w:tcPr>
          <w:p w14:paraId="47C0CE98" w14:textId="77777777" w:rsidR="00FF01AC" w:rsidRPr="00E27560" w:rsidRDefault="00FF01AC" w:rsidP="00545577">
            <w:pPr>
              <w:jc w:val="center"/>
              <w:rPr>
                <w:rFonts w:ascii="Calibri" w:eastAsia="Times New Roman" w:hAnsi="Calibri" w:cs="Calibri"/>
                <w:color w:val="000000"/>
              </w:rPr>
            </w:pPr>
            <w:r>
              <w:rPr>
                <w:rFonts w:ascii="Calibri" w:hAnsi="Calibri" w:cs="Calibri"/>
                <w:color w:val="000000"/>
              </w:rPr>
              <w:t>0.18150%</w:t>
            </w:r>
          </w:p>
        </w:tc>
        <w:tc>
          <w:tcPr>
            <w:tcW w:w="1187" w:type="dxa"/>
            <w:noWrap/>
            <w:hideMark/>
          </w:tcPr>
          <w:p w14:paraId="4AC2770F" w14:textId="77777777" w:rsidR="00FF01AC" w:rsidRPr="00E27560" w:rsidRDefault="00FF01AC" w:rsidP="00545577">
            <w:pPr>
              <w:jc w:val="center"/>
              <w:rPr>
                <w:rFonts w:ascii="Calibri" w:eastAsia="Times New Roman" w:hAnsi="Calibri" w:cs="Calibri"/>
                <w:color w:val="000000"/>
              </w:rPr>
            </w:pPr>
            <w:r>
              <w:rPr>
                <w:rFonts w:ascii="Calibri" w:hAnsi="Calibri" w:cs="Calibri"/>
                <w:color w:val="000000"/>
              </w:rPr>
              <w:t>0.62530%</w:t>
            </w:r>
          </w:p>
        </w:tc>
      </w:tr>
    </w:tbl>
    <w:p w14:paraId="5F19B0F3" w14:textId="77777777" w:rsidR="00810A9B" w:rsidRDefault="00810A9B" w:rsidP="00FF01AC">
      <w:pPr>
        <w:jc w:val="both"/>
        <w:rPr>
          <w:rFonts w:eastAsiaTheme="minorEastAsia"/>
          <w:sz w:val="24"/>
          <w:szCs w:val="24"/>
          <w:lang w:val="es-CL"/>
        </w:rPr>
      </w:pPr>
    </w:p>
    <w:p w14:paraId="505ADFE2" w14:textId="46B91937" w:rsidR="00AC2FB1" w:rsidRDefault="003A5ADD" w:rsidP="00FF01AC">
      <w:pPr>
        <w:jc w:val="both"/>
        <w:rPr>
          <w:rFonts w:eastAsiaTheme="minorEastAsia"/>
          <w:sz w:val="24"/>
          <w:szCs w:val="24"/>
        </w:rPr>
      </w:pPr>
      <w:r w:rsidRPr="003B6C66">
        <w:rPr>
          <w:rFonts w:eastAsiaTheme="minorEastAsia"/>
          <w:sz w:val="24"/>
          <w:szCs w:val="24"/>
        </w:rPr>
        <w:lastRenderedPageBreak/>
        <w:t>As can be seen in Table 5, the model is capable of simulating with some precision the inflationary events of the year 2021. This gives some certainty of the explanatory capacity of the model used. In the appendix we provide additional simulations for each month in 2021 and also for the months of January and February 2022, months that are not part of the sample used to estimate the model.</w:t>
      </w:r>
    </w:p>
    <w:p w14:paraId="46091B10" w14:textId="77777777" w:rsidR="00A54BF4" w:rsidRPr="003B6C66" w:rsidRDefault="00A54BF4" w:rsidP="00FF01AC">
      <w:pPr>
        <w:jc w:val="both"/>
        <w:rPr>
          <w:rFonts w:eastAsiaTheme="minorEastAsia"/>
          <w:sz w:val="24"/>
          <w:szCs w:val="24"/>
        </w:rPr>
      </w:pPr>
    </w:p>
    <w:p w14:paraId="2F6270D3" w14:textId="175006E3" w:rsidR="00FE72E6" w:rsidRPr="00DB4220" w:rsidRDefault="00FE72E6" w:rsidP="00DB4220">
      <w:pPr>
        <w:pStyle w:val="Prrafodelista"/>
        <w:numPr>
          <w:ilvl w:val="0"/>
          <w:numId w:val="8"/>
        </w:numPr>
        <w:jc w:val="both"/>
        <w:rPr>
          <w:rFonts w:eastAsiaTheme="minorEastAsia"/>
          <w:b/>
          <w:bCs/>
          <w:i/>
          <w:iCs/>
          <w:sz w:val="24"/>
          <w:szCs w:val="24"/>
          <w:lang w:val="es-CL"/>
        </w:rPr>
      </w:pPr>
      <w:r w:rsidRPr="00DB4220">
        <w:rPr>
          <w:rFonts w:eastAsiaTheme="minorEastAsia"/>
          <w:b/>
          <w:bCs/>
          <w:i/>
          <w:iCs/>
          <w:sz w:val="24"/>
          <w:szCs w:val="24"/>
          <w:lang w:val="es-CL"/>
        </w:rPr>
        <w:t>VAR</w:t>
      </w:r>
      <w:r w:rsidR="00AC2FB1">
        <w:rPr>
          <w:rFonts w:eastAsiaTheme="minorEastAsia"/>
          <w:b/>
          <w:bCs/>
          <w:i/>
          <w:iCs/>
          <w:sz w:val="24"/>
          <w:szCs w:val="24"/>
          <w:lang w:val="es-CL"/>
        </w:rPr>
        <w:t xml:space="preserve"> Model</w:t>
      </w:r>
    </w:p>
    <w:p w14:paraId="7C6D2C9D" w14:textId="66431E61" w:rsidR="00840C7B" w:rsidRPr="003B6C66" w:rsidRDefault="007F423E" w:rsidP="00FF01AC">
      <w:pPr>
        <w:jc w:val="both"/>
        <w:rPr>
          <w:rFonts w:eastAsiaTheme="minorEastAsia"/>
          <w:sz w:val="24"/>
          <w:szCs w:val="24"/>
        </w:rPr>
      </w:pPr>
      <w:r w:rsidRPr="003B6C66">
        <w:rPr>
          <w:rFonts w:eastAsiaTheme="minorEastAsia"/>
          <w:sz w:val="24"/>
          <w:szCs w:val="24"/>
        </w:rPr>
        <w:t>In order to characterize the simultaneous dynamic interactions between domestic inflation, the variation in the nominal exchange rate, and the variation in the Monetary Policy Rate (TPM), we use a Vector Autoregressive (VAR) model. We start from a general model of the form</w:t>
      </w:r>
    </w:p>
    <w:p w14:paraId="046B740A" w14:textId="2FA1ECC4" w:rsidR="002826A4" w:rsidRPr="003B6C66" w:rsidRDefault="0062217F" w:rsidP="00E3292E">
      <w:pPr>
        <w:jc w:val="center"/>
        <w:rPr>
          <w:rFonts w:eastAsiaTheme="minorEastAsia"/>
          <w:sz w:val="24"/>
          <w:szCs w:val="24"/>
        </w:rPr>
      </w:p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y</m:t>
            </m:r>
          </m:e>
          <m:sub>
            <m:r>
              <w:rPr>
                <w:rFonts w:ascii="Cambria Math" w:eastAsiaTheme="minorEastAsia" w:hAnsi="Cambria Math"/>
                <w:sz w:val="24"/>
                <w:szCs w:val="24"/>
                <w:lang w:val="es-CL"/>
              </w:rPr>
              <m:t>t</m:t>
            </m:r>
          </m:sub>
        </m:sSub>
        <m:r>
          <w:rPr>
            <w:rFonts w:ascii="Cambria Math" w:eastAsiaTheme="minorEastAsia" w:hAnsi="Cambria Math"/>
            <w:sz w:val="24"/>
            <w:szCs w:val="24"/>
          </w:rPr>
          <m:t>=</m:t>
        </m:r>
        <m:r>
          <w:rPr>
            <w:rFonts w:ascii="Cambria Math" w:eastAsiaTheme="minorEastAsia" w:hAnsi="Cambria Math"/>
            <w:sz w:val="24"/>
            <w:szCs w:val="24"/>
            <w:lang w:val="es-CL"/>
          </w:rPr>
          <m:t>ν</m:t>
        </m:r>
        <m:r>
          <w:rPr>
            <w:rFonts w:ascii="Cambria Math" w:eastAsiaTheme="minorEastAsia" w:hAnsi="Cambria Math"/>
            <w:sz w:val="24"/>
            <w:szCs w:val="24"/>
          </w:rPr>
          <m:t>+</m:t>
        </m:r>
        <m:nary>
          <m:naryPr>
            <m:chr m:val="∑"/>
            <m:limLoc m:val="undOvr"/>
            <m:ctrlPr>
              <w:rPr>
                <w:rFonts w:ascii="Cambria Math" w:eastAsiaTheme="minorEastAsia" w:hAnsi="Cambria Math"/>
                <w:i/>
                <w:sz w:val="24"/>
                <w:szCs w:val="24"/>
                <w:lang w:val="es-CL"/>
              </w:rPr>
            </m:ctrlPr>
          </m:naryPr>
          <m:sub>
            <m:r>
              <w:rPr>
                <w:rFonts w:ascii="Cambria Math" w:eastAsiaTheme="minorEastAsia" w:hAnsi="Cambria Math"/>
                <w:sz w:val="24"/>
                <w:szCs w:val="24"/>
                <w:lang w:val="es-CL"/>
              </w:rPr>
              <m:t>i</m:t>
            </m:r>
            <m:r>
              <w:rPr>
                <w:rFonts w:ascii="Cambria Math" w:eastAsiaTheme="minorEastAsia" w:hAnsi="Cambria Math"/>
                <w:sz w:val="24"/>
                <w:szCs w:val="24"/>
              </w:rPr>
              <m:t>=1</m:t>
            </m:r>
          </m:sub>
          <m:sup>
            <m:r>
              <w:rPr>
                <w:rFonts w:ascii="Cambria Math" w:eastAsiaTheme="minorEastAsia" w:hAnsi="Cambria Math"/>
                <w:sz w:val="24"/>
                <w:szCs w:val="24"/>
                <w:lang w:val="es-CL"/>
              </w:rPr>
              <m:t>p</m:t>
            </m:r>
          </m:sup>
          <m:e>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A</m:t>
                </m:r>
              </m:e>
              <m:sub>
                <m:r>
                  <w:rPr>
                    <w:rFonts w:ascii="Cambria Math" w:eastAsiaTheme="minorEastAsia" w:hAnsi="Cambria Math"/>
                    <w:sz w:val="24"/>
                    <w:szCs w:val="24"/>
                    <w:lang w:val="es-CL"/>
                  </w:rPr>
                  <m:t>i</m:t>
                </m:r>
              </m:sub>
            </m:sSub>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y</m:t>
                </m:r>
              </m:e>
              <m:sub>
                <m:r>
                  <w:rPr>
                    <w:rFonts w:ascii="Cambria Math" w:eastAsiaTheme="minorEastAsia" w:hAnsi="Cambria Math"/>
                    <w:sz w:val="24"/>
                    <w:szCs w:val="24"/>
                    <w:lang w:val="es-CL"/>
                  </w:rPr>
                  <m:t>t</m:t>
                </m:r>
                <m:r>
                  <w:rPr>
                    <w:rFonts w:ascii="Cambria Math" w:eastAsiaTheme="minorEastAsia" w:hAnsi="Cambria Math"/>
                    <w:sz w:val="24"/>
                    <w:szCs w:val="24"/>
                  </w:rPr>
                  <m:t>-</m:t>
                </m:r>
                <m:r>
                  <w:rPr>
                    <w:rFonts w:ascii="Cambria Math" w:eastAsiaTheme="minorEastAsia" w:hAnsi="Cambria Math"/>
                    <w:sz w:val="24"/>
                    <w:szCs w:val="24"/>
                    <w:lang w:val="es-CL"/>
                  </w:rPr>
                  <m:t>i</m:t>
                </m:r>
              </m:sub>
            </m:sSub>
          </m:e>
        </m:nary>
        <m:r>
          <w:rPr>
            <w:rFonts w:ascii="Cambria Math" w:eastAsiaTheme="minorEastAsia" w:hAnsi="Cambria Math"/>
            <w:sz w:val="24"/>
            <w:szCs w:val="24"/>
          </w:rPr>
          <m:t>+</m:t>
        </m:r>
        <m:r>
          <w:rPr>
            <w:rFonts w:ascii="Cambria Math" w:eastAsiaTheme="minorEastAsia" w:hAnsi="Cambria Math"/>
            <w:sz w:val="24"/>
            <w:szCs w:val="24"/>
            <w:lang w:val="es-CL"/>
          </w:rPr>
          <m:t>B</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x</m:t>
            </m:r>
          </m:e>
          <m:sub>
            <m:r>
              <w:rPr>
                <w:rFonts w:ascii="Cambria Math" w:eastAsiaTheme="minorEastAsia" w:hAnsi="Cambria Math"/>
                <w:sz w:val="24"/>
                <w:szCs w:val="24"/>
                <w:lang w:val="es-CL"/>
              </w:rPr>
              <m:t>t</m:t>
            </m:r>
          </m:sub>
        </m:sSub>
        <m:r>
          <w:rPr>
            <w:rFonts w:ascii="Cambria Math" w:eastAsiaTheme="minorEastAsia" w:hAnsi="Cambria Math"/>
            <w:sz w:val="24"/>
            <w:szCs w:val="24"/>
          </w:rPr>
          <m:t>+</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μ</m:t>
            </m:r>
          </m:e>
          <m:sub>
            <m:r>
              <w:rPr>
                <w:rFonts w:ascii="Cambria Math" w:eastAsiaTheme="minorEastAsia" w:hAnsi="Cambria Math"/>
                <w:sz w:val="24"/>
                <w:szCs w:val="24"/>
                <w:lang w:val="es-CL"/>
              </w:rPr>
              <m:t>t</m:t>
            </m:r>
          </m:sub>
        </m:sSub>
      </m:oMath>
      <w:r w:rsidR="0000696B" w:rsidRPr="003B6C66">
        <w:rPr>
          <w:rFonts w:eastAsiaTheme="minorEastAsia"/>
          <w:sz w:val="24"/>
          <w:szCs w:val="24"/>
        </w:rPr>
        <w:t xml:space="preserve"> </w:t>
      </w:r>
      <w:r w:rsidR="0000696B" w:rsidRPr="003B6C66">
        <w:rPr>
          <w:rFonts w:eastAsiaTheme="minorEastAsia"/>
          <w:sz w:val="24"/>
          <w:szCs w:val="24"/>
        </w:rPr>
        <w:tab/>
      </w:r>
      <w:r w:rsidR="003D3DC1" w:rsidRPr="003B6C66">
        <w:rPr>
          <w:rFonts w:eastAsiaTheme="minorEastAsia"/>
          <w:sz w:val="24"/>
          <w:szCs w:val="24"/>
        </w:rPr>
        <w:t xml:space="preserve">     </w:t>
      </w:r>
      <w:r w:rsidR="0000696B" w:rsidRPr="003B6C66">
        <w:rPr>
          <w:rFonts w:eastAsiaTheme="minorEastAsia"/>
          <w:sz w:val="24"/>
          <w:szCs w:val="24"/>
        </w:rPr>
        <w:t>(5)</w:t>
      </w:r>
    </w:p>
    <w:p w14:paraId="0B200603" w14:textId="0F3301B2" w:rsidR="008C2428" w:rsidRPr="003B6C66" w:rsidRDefault="008C2428" w:rsidP="008C2428">
      <w:pPr>
        <w:jc w:val="both"/>
        <w:rPr>
          <w:rFonts w:eastAsiaTheme="minorEastAsia"/>
          <w:sz w:val="24"/>
          <w:szCs w:val="24"/>
        </w:rPr>
      </w:pPr>
      <w:r w:rsidRPr="003B6C66">
        <w:rPr>
          <w:rFonts w:eastAsiaTheme="minorEastAsia"/>
          <w:sz w:val="24"/>
          <w:szCs w:val="24"/>
        </w:rPr>
        <w:t xml:space="preserve">Where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y</m:t>
            </m:r>
          </m:e>
          <m:sub>
            <m:r>
              <w:rPr>
                <w:rFonts w:ascii="Cambria Math" w:eastAsiaTheme="minorEastAsia" w:hAnsi="Cambria Math"/>
                <w:sz w:val="24"/>
                <w:szCs w:val="24"/>
                <w:lang w:val="es-CL"/>
              </w:rPr>
              <m:t>t</m:t>
            </m:r>
          </m:sub>
        </m:sSub>
        <m:r>
          <w:rPr>
            <w:rFonts w:ascii="Cambria Math" w:eastAsiaTheme="minorEastAsia" w:hAnsi="Cambria Math"/>
            <w:sz w:val="24"/>
            <w:szCs w:val="24"/>
          </w:rPr>
          <m:t>=(</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y</m:t>
            </m:r>
          </m:e>
          <m:sub>
            <m:r>
              <w:rPr>
                <w:rFonts w:ascii="Cambria Math" w:eastAsiaTheme="minorEastAsia" w:hAnsi="Cambria Math"/>
                <w:sz w:val="24"/>
                <w:szCs w:val="24"/>
              </w:rPr>
              <m:t>1</m:t>
            </m:r>
            <m:r>
              <w:rPr>
                <w:rFonts w:ascii="Cambria Math" w:eastAsiaTheme="minorEastAsia" w:hAnsi="Cambria Math"/>
                <w:sz w:val="24"/>
                <w:szCs w:val="24"/>
                <w:lang w:val="es-CL"/>
              </w:rPr>
              <m:t>t</m:t>
            </m:r>
            <m:r>
              <w:rPr>
                <w:rFonts w:ascii="Cambria Math" w:eastAsiaTheme="minorEastAsia" w:hAnsi="Cambria Math"/>
                <w:sz w:val="24"/>
                <w:szCs w:val="24"/>
              </w:rPr>
              <m:t xml:space="preserve">,   ⋅⋅⋅  , </m:t>
            </m:r>
          </m:sub>
        </m:sSub>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y</m:t>
            </m:r>
          </m:e>
          <m:sub>
            <m:r>
              <w:rPr>
                <w:rFonts w:ascii="Cambria Math" w:eastAsiaTheme="minorEastAsia" w:hAnsi="Cambria Math"/>
                <w:sz w:val="24"/>
                <w:szCs w:val="24"/>
                <w:lang w:val="es-CL"/>
              </w:rPr>
              <m:t>kt</m:t>
            </m:r>
          </m:sub>
        </m:sSub>
        <m:r>
          <w:rPr>
            <w:rFonts w:ascii="Cambria Math" w:eastAsiaTheme="minorEastAsia" w:hAnsi="Cambria Math"/>
            <w:sz w:val="24"/>
            <w:szCs w:val="24"/>
          </w:rPr>
          <m:t>)'</m:t>
        </m:r>
      </m:oMath>
      <w:r w:rsidRPr="003B6C66">
        <w:rPr>
          <w:rFonts w:eastAsiaTheme="minorEastAsia"/>
          <w:sz w:val="24"/>
          <w:szCs w:val="24"/>
        </w:rPr>
        <w:t xml:space="preserve"> is a </w:t>
      </w:r>
      <m:oMath>
        <m:r>
          <w:rPr>
            <w:rFonts w:ascii="Cambria Math" w:eastAsiaTheme="minorEastAsia" w:hAnsi="Cambria Math"/>
            <w:sz w:val="24"/>
            <w:szCs w:val="24"/>
          </w:rPr>
          <m:t>(</m:t>
        </m:r>
        <m:r>
          <w:rPr>
            <w:rFonts w:ascii="Cambria Math" w:eastAsiaTheme="minorEastAsia" w:hAnsi="Cambria Math"/>
            <w:sz w:val="24"/>
            <w:szCs w:val="24"/>
            <w:lang w:val="es-CL"/>
          </w:rPr>
          <m:t>k</m:t>
        </m:r>
        <m:r>
          <w:rPr>
            <w:rFonts w:ascii="Cambria Math" w:eastAsiaTheme="minorEastAsia" w:hAnsi="Cambria Math"/>
            <w:sz w:val="24"/>
            <w:szCs w:val="24"/>
          </w:rPr>
          <m:t xml:space="preserve"> </m:t>
        </m:r>
        <m:r>
          <w:rPr>
            <w:rFonts w:ascii="Cambria Math" w:eastAsiaTheme="minorEastAsia" w:hAnsi="Cambria Math"/>
            <w:sz w:val="24"/>
            <w:szCs w:val="24"/>
            <w:lang w:val="es-CL"/>
          </w:rPr>
          <m:t>x</m:t>
        </m:r>
        <m:r>
          <w:rPr>
            <w:rFonts w:ascii="Cambria Math" w:eastAsiaTheme="minorEastAsia" w:hAnsi="Cambria Math"/>
            <w:sz w:val="24"/>
            <w:szCs w:val="24"/>
          </w:rPr>
          <m:t xml:space="preserve"> 1)</m:t>
        </m:r>
      </m:oMath>
      <w:r w:rsidRPr="003B6C66">
        <w:rPr>
          <w:rFonts w:eastAsiaTheme="minorEastAsia"/>
          <w:sz w:val="24"/>
          <w:szCs w:val="24"/>
        </w:rPr>
        <w:t xml:space="preserve"> vector containing the changes over time of the </w:t>
      </w:r>
      <m:oMath>
        <m:r>
          <w:rPr>
            <w:rFonts w:ascii="Cambria Math" w:eastAsiaTheme="minorEastAsia" w:hAnsi="Cambria Math"/>
            <w:sz w:val="24"/>
            <w:szCs w:val="24"/>
            <w:lang w:val="es-CL"/>
          </w:rPr>
          <m:t>k</m:t>
        </m:r>
      </m:oMath>
      <w:r w:rsidRPr="003B6C66">
        <w:rPr>
          <w:rFonts w:eastAsiaTheme="minorEastAsia"/>
          <w:sz w:val="24"/>
          <w:szCs w:val="24"/>
        </w:rPr>
        <w:t xml:space="preserve"> endogenous variables;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A</m:t>
            </m:r>
          </m:e>
          <m:sub>
            <m:r>
              <w:rPr>
                <w:rFonts w:ascii="Cambria Math" w:eastAsiaTheme="minorEastAsia" w:hAnsi="Cambria Math"/>
                <w:sz w:val="24"/>
                <w:szCs w:val="24"/>
                <w:lang w:val="es-CL"/>
              </w:rPr>
              <m:t>i</m:t>
            </m:r>
          </m:sub>
        </m:sSub>
      </m:oMath>
      <w:r w:rsidRPr="003B6C66">
        <w:rPr>
          <w:rFonts w:eastAsiaTheme="minorEastAsia"/>
          <w:sz w:val="24"/>
          <w:szCs w:val="24"/>
        </w:rPr>
        <w:t xml:space="preserve"> are </w:t>
      </w:r>
      <m:oMath>
        <m:d>
          <m:dPr>
            <m:ctrlPr>
              <w:rPr>
                <w:rFonts w:ascii="Cambria Math" w:eastAsiaTheme="minorEastAsia" w:hAnsi="Cambria Math"/>
                <w:i/>
                <w:sz w:val="24"/>
                <w:szCs w:val="24"/>
                <w:lang w:val="es-CL"/>
              </w:rPr>
            </m:ctrlPr>
          </m:dPr>
          <m:e>
            <m:r>
              <w:rPr>
                <w:rFonts w:ascii="Cambria Math" w:eastAsiaTheme="minorEastAsia" w:hAnsi="Cambria Math"/>
                <w:sz w:val="24"/>
                <w:szCs w:val="24"/>
                <w:lang w:val="es-CL"/>
              </w:rPr>
              <m:t>k</m:t>
            </m:r>
            <m:r>
              <w:rPr>
                <w:rFonts w:ascii="Cambria Math" w:eastAsiaTheme="minorEastAsia" w:hAnsi="Cambria Math"/>
                <w:sz w:val="24"/>
                <w:szCs w:val="24"/>
              </w:rPr>
              <m:t xml:space="preserve"> </m:t>
            </m:r>
            <m:r>
              <w:rPr>
                <w:rFonts w:ascii="Cambria Math" w:eastAsiaTheme="minorEastAsia" w:hAnsi="Cambria Math"/>
                <w:sz w:val="24"/>
                <w:szCs w:val="24"/>
                <w:lang w:val="es-CL"/>
              </w:rPr>
              <m:t>x</m:t>
            </m:r>
            <m:r>
              <w:rPr>
                <w:rFonts w:ascii="Cambria Math" w:eastAsiaTheme="minorEastAsia" w:hAnsi="Cambria Math"/>
                <w:sz w:val="24"/>
                <w:szCs w:val="24"/>
              </w:rPr>
              <m:t xml:space="preserve"> </m:t>
            </m:r>
            <m:r>
              <w:rPr>
                <w:rFonts w:ascii="Cambria Math" w:eastAsiaTheme="minorEastAsia" w:hAnsi="Cambria Math"/>
                <w:sz w:val="24"/>
                <w:szCs w:val="24"/>
                <w:lang w:val="es-CL"/>
              </w:rPr>
              <m:t>k</m:t>
            </m:r>
          </m:e>
        </m:d>
        <m:r>
          <w:rPr>
            <w:rFonts w:ascii="Cambria Math" w:eastAsiaTheme="minorEastAsia" w:hAnsi="Cambria Math"/>
            <w:sz w:val="24"/>
            <w:szCs w:val="24"/>
          </w:rPr>
          <m:t xml:space="preserve"> </m:t>
        </m:r>
      </m:oMath>
      <w:r w:rsidRPr="003B6C66">
        <w:rPr>
          <w:rFonts w:eastAsiaTheme="minorEastAsia"/>
          <w:sz w:val="24"/>
          <w:szCs w:val="24"/>
        </w:rPr>
        <w:t xml:space="preserve">arrays of parameters;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x</m:t>
            </m:r>
          </m:e>
          <m:sub>
            <m:r>
              <w:rPr>
                <w:rFonts w:ascii="Cambria Math" w:eastAsiaTheme="minorEastAsia" w:hAnsi="Cambria Math"/>
                <w:sz w:val="24"/>
                <w:szCs w:val="24"/>
                <w:lang w:val="es-CL"/>
              </w:rPr>
              <m:t>t</m:t>
            </m:r>
          </m:sub>
        </m:sSub>
      </m:oMath>
      <w:r w:rsidRPr="003B6C66">
        <w:rPr>
          <w:rFonts w:eastAsiaTheme="minorEastAsia"/>
          <w:sz w:val="24"/>
          <w:szCs w:val="24"/>
        </w:rPr>
        <w:t xml:space="preserve"> is a </w:t>
      </w:r>
      <m:oMath>
        <m:r>
          <w:rPr>
            <w:rFonts w:ascii="Cambria Math" w:eastAsiaTheme="minorEastAsia" w:hAnsi="Cambria Math"/>
            <w:sz w:val="24"/>
            <w:szCs w:val="24"/>
          </w:rPr>
          <m:t>(</m:t>
        </m:r>
        <m:sSub>
          <m:sSubPr>
            <m:ctrlPr>
              <w:rPr>
                <w:rFonts w:ascii="Cambria Math" w:eastAsiaTheme="minorEastAsia" w:hAnsi="Cambria Math"/>
                <w:i/>
                <w:iCs/>
                <w:sz w:val="24"/>
                <w:szCs w:val="24"/>
                <w:lang w:val="es-CL"/>
              </w:rPr>
            </m:ctrlPr>
          </m:sSubPr>
          <m:e>
            <m:r>
              <w:rPr>
                <w:rFonts w:ascii="Cambria Math" w:eastAsiaTheme="minorEastAsia" w:hAnsi="Cambria Math"/>
                <w:sz w:val="24"/>
                <w:szCs w:val="24"/>
                <w:lang w:val="es-CL"/>
              </w:rPr>
              <m:t>k</m:t>
            </m:r>
          </m:e>
          <m:sub>
            <m:r>
              <w:rPr>
                <w:rFonts w:ascii="Cambria Math" w:eastAsiaTheme="minorEastAsia" w:hAnsi="Cambria Math"/>
                <w:sz w:val="24"/>
                <w:szCs w:val="24"/>
                <w:lang w:val="es-CL"/>
              </w:rPr>
              <m:t>e</m:t>
            </m:r>
          </m:sub>
        </m:sSub>
        <m:r>
          <w:rPr>
            <w:rFonts w:ascii="Cambria Math" w:eastAsiaTheme="minorEastAsia" w:hAnsi="Cambria Math"/>
            <w:sz w:val="24"/>
            <w:szCs w:val="24"/>
          </w:rPr>
          <m:t xml:space="preserve"> </m:t>
        </m:r>
        <m:r>
          <w:rPr>
            <w:rFonts w:ascii="Cambria Math" w:eastAsiaTheme="minorEastAsia" w:hAnsi="Cambria Math"/>
            <w:sz w:val="24"/>
            <w:szCs w:val="24"/>
            <w:lang w:val="es-CL"/>
          </w:rPr>
          <m:t>x</m:t>
        </m:r>
        <m:r>
          <w:rPr>
            <w:rFonts w:ascii="Cambria Math" w:eastAsiaTheme="minorEastAsia" w:hAnsi="Cambria Math"/>
            <w:sz w:val="24"/>
            <w:szCs w:val="24"/>
          </w:rPr>
          <m:t xml:space="preserve"> 1)</m:t>
        </m:r>
      </m:oMath>
      <w:r w:rsidRPr="003B6C66">
        <w:rPr>
          <w:rFonts w:eastAsiaTheme="minorEastAsia"/>
          <w:sz w:val="24"/>
          <w:szCs w:val="24"/>
        </w:rPr>
        <w:t xml:space="preserve">  vector of exogenous variables;</w:t>
      </w:r>
      <m:oMath>
        <m:r>
          <w:rPr>
            <w:rFonts w:ascii="Cambria Math" w:eastAsiaTheme="minorEastAsia" w:hAnsi="Cambria Math"/>
            <w:sz w:val="24"/>
            <w:szCs w:val="24"/>
          </w:rPr>
          <m:t xml:space="preserve"> </m:t>
        </m:r>
        <m:r>
          <w:rPr>
            <w:rFonts w:ascii="Cambria Math" w:eastAsiaTheme="minorEastAsia" w:hAnsi="Cambria Math"/>
            <w:sz w:val="24"/>
            <w:szCs w:val="24"/>
            <w:lang w:val="es-CL"/>
          </w:rPr>
          <m:t>B</m:t>
        </m:r>
      </m:oMath>
      <w:r w:rsidRPr="003B6C66">
        <w:rPr>
          <w:rFonts w:eastAsiaTheme="minorEastAsia"/>
          <w:sz w:val="24"/>
          <w:szCs w:val="24"/>
        </w:rPr>
        <w:t xml:space="preserve"> is a </w:t>
      </w:r>
      <m:oMath>
        <m:r>
          <w:rPr>
            <w:rFonts w:ascii="Cambria Math" w:eastAsiaTheme="minorEastAsia" w:hAnsi="Cambria Math"/>
            <w:sz w:val="24"/>
            <w:szCs w:val="24"/>
          </w:rPr>
          <m:t>(</m:t>
        </m:r>
        <m:sSub>
          <m:sSubPr>
            <m:ctrlPr>
              <w:rPr>
                <w:rFonts w:ascii="Cambria Math" w:eastAsiaTheme="minorEastAsia" w:hAnsi="Cambria Math"/>
                <w:i/>
                <w:iCs/>
                <w:sz w:val="24"/>
                <w:szCs w:val="24"/>
                <w:lang w:val="es-CL"/>
              </w:rPr>
            </m:ctrlPr>
          </m:sSubPr>
          <m:e>
            <m:r>
              <w:rPr>
                <w:rFonts w:ascii="Cambria Math" w:eastAsiaTheme="minorEastAsia" w:hAnsi="Cambria Math"/>
                <w:sz w:val="24"/>
                <w:szCs w:val="24"/>
                <w:lang w:val="es-CL"/>
              </w:rPr>
              <m:t>k</m:t>
            </m:r>
            <m:r>
              <w:rPr>
                <w:rFonts w:ascii="Cambria Math" w:eastAsiaTheme="minorEastAsia" w:hAnsi="Cambria Math"/>
                <w:sz w:val="24"/>
                <w:szCs w:val="24"/>
              </w:rPr>
              <m:t xml:space="preserve"> </m:t>
            </m:r>
            <m:r>
              <w:rPr>
                <w:rFonts w:ascii="Cambria Math" w:eastAsiaTheme="minorEastAsia" w:hAnsi="Cambria Math"/>
                <w:sz w:val="24"/>
                <w:szCs w:val="24"/>
                <w:lang w:val="es-CL"/>
              </w:rPr>
              <m:t>x</m:t>
            </m:r>
            <m:r>
              <w:rPr>
                <w:rFonts w:ascii="Cambria Math" w:eastAsiaTheme="minorEastAsia" w:hAnsi="Cambria Math"/>
                <w:sz w:val="24"/>
                <w:szCs w:val="24"/>
              </w:rPr>
              <m:t xml:space="preserve"> </m:t>
            </m:r>
            <m:r>
              <w:rPr>
                <w:rFonts w:ascii="Cambria Math" w:eastAsiaTheme="minorEastAsia" w:hAnsi="Cambria Math"/>
                <w:sz w:val="24"/>
                <w:szCs w:val="24"/>
                <w:lang w:val="es-CL"/>
              </w:rPr>
              <m:t>k</m:t>
            </m:r>
          </m:e>
          <m:sub>
            <m:r>
              <w:rPr>
                <w:rFonts w:ascii="Cambria Math" w:eastAsiaTheme="minorEastAsia" w:hAnsi="Cambria Math"/>
                <w:sz w:val="24"/>
                <w:szCs w:val="24"/>
                <w:lang w:val="es-CL"/>
              </w:rPr>
              <m:t>e</m:t>
            </m:r>
          </m:sub>
        </m:sSub>
        <m:r>
          <w:rPr>
            <w:rFonts w:ascii="Cambria Math" w:eastAsiaTheme="minorEastAsia" w:hAnsi="Cambria Math"/>
            <w:sz w:val="24"/>
            <w:szCs w:val="24"/>
          </w:rPr>
          <m:t>)</m:t>
        </m:r>
      </m:oMath>
      <w:r w:rsidRPr="003B6C66">
        <w:rPr>
          <w:rFonts w:eastAsiaTheme="minorEastAsia"/>
          <w:sz w:val="24"/>
          <w:szCs w:val="24"/>
        </w:rPr>
        <w:t xml:space="preserve"> matrix of coefficients; </w:t>
      </w:r>
      <m:oMath>
        <m:r>
          <w:rPr>
            <w:rFonts w:ascii="Cambria Math" w:eastAsiaTheme="minorEastAsia" w:hAnsi="Cambria Math"/>
            <w:sz w:val="24"/>
            <w:szCs w:val="24"/>
            <w:lang w:val="es-CL"/>
          </w:rPr>
          <m:t>ν</m:t>
        </m:r>
      </m:oMath>
      <w:r w:rsidRPr="003B6C66">
        <w:rPr>
          <w:rFonts w:eastAsiaTheme="minorEastAsia"/>
          <w:sz w:val="24"/>
          <w:szCs w:val="24"/>
        </w:rPr>
        <w:t xml:space="preserve"> is a </w:t>
      </w:r>
      <m:oMath>
        <m:r>
          <w:rPr>
            <w:rFonts w:ascii="Cambria Math" w:eastAsiaTheme="minorEastAsia" w:hAnsi="Cambria Math"/>
            <w:sz w:val="24"/>
            <w:szCs w:val="24"/>
          </w:rPr>
          <m:t>(</m:t>
        </m:r>
        <m:r>
          <w:rPr>
            <w:rFonts w:ascii="Cambria Math" w:eastAsiaTheme="minorEastAsia" w:hAnsi="Cambria Math"/>
            <w:sz w:val="24"/>
            <w:szCs w:val="24"/>
            <w:lang w:val="es-CL"/>
          </w:rPr>
          <m:t>k</m:t>
        </m:r>
        <m:r>
          <w:rPr>
            <w:rFonts w:ascii="Cambria Math" w:eastAsiaTheme="minorEastAsia" w:hAnsi="Cambria Math"/>
            <w:sz w:val="24"/>
            <w:szCs w:val="24"/>
          </w:rPr>
          <m:t xml:space="preserve"> </m:t>
        </m:r>
        <m:r>
          <w:rPr>
            <w:rFonts w:ascii="Cambria Math" w:eastAsiaTheme="minorEastAsia" w:hAnsi="Cambria Math"/>
            <w:sz w:val="24"/>
            <w:szCs w:val="24"/>
            <w:lang w:val="es-CL"/>
          </w:rPr>
          <m:t>x</m:t>
        </m:r>
        <m:r>
          <w:rPr>
            <w:rFonts w:ascii="Cambria Math" w:eastAsiaTheme="minorEastAsia" w:hAnsi="Cambria Math"/>
            <w:sz w:val="24"/>
            <w:szCs w:val="24"/>
          </w:rPr>
          <m:t xml:space="preserve"> 1)</m:t>
        </m:r>
      </m:oMath>
      <w:r w:rsidRPr="003B6C66">
        <w:rPr>
          <w:rFonts w:eastAsiaTheme="minorEastAsia"/>
          <w:iCs/>
          <w:sz w:val="24"/>
          <w:szCs w:val="24"/>
        </w:rPr>
        <w:t xml:space="preserve"> </w:t>
      </w:r>
      <w:r w:rsidRPr="003B6C66">
        <w:rPr>
          <w:rFonts w:eastAsiaTheme="minorEastAsia"/>
          <w:sz w:val="24"/>
          <w:szCs w:val="24"/>
        </w:rPr>
        <w:t xml:space="preserve">parameter vector and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μ</m:t>
            </m:r>
          </m:e>
          <m:sub>
            <m:r>
              <w:rPr>
                <w:rFonts w:ascii="Cambria Math" w:eastAsiaTheme="minorEastAsia" w:hAnsi="Cambria Math"/>
                <w:sz w:val="24"/>
                <w:szCs w:val="24"/>
                <w:lang w:val="es-CL"/>
              </w:rPr>
              <m:t>t</m:t>
            </m:r>
          </m:sub>
        </m:sSub>
      </m:oMath>
      <w:r w:rsidRPr="003B6C66">
        <w:rPr>
          <w:rFonts w:eastAsiaTheme="minorEastAsia"/>
          <w:sz w:val="24"/>
          <w:szCs w:val="24"/>
        </w:rPr>
        <w:t xml:space="preserve"> is assumed to be white noise, that is, </w:t>
      </w:r>
      <m:oMath>
        <m:r>
          <m:rPr>
            <m:sty m:val="p"/>
          </m:rPr>
          <w:rPr>
            <w:rFonts w:ascii="Cambria Math" w:eastAsiaTheme="minorEastAsia" w:hAnsi="Cambria Math"/>
            <w:sz w:val="24"/>
            <w:szCs w:val="24"/>
          </w:rPr>
          <m:t>E(</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μ</m:t>
            </m:r>
          </m:e>
          <m:sub>
            <m:r>
              <w:rPr>
                <w:rFonts w:ascii="Cambria Math" w:eastAsiaTheme="minorEastAsia" w:hAnsi="Cambria Math"/>
                <w:sz w:val="24"/>
                <w:szCs w:val="24"/>
                <w:lang w:val="es-CL"/>
              </w:rPr>
              <m:t>t</m:t>
            </m:r>
          </m:sub>
        </m:sSub>
        <m:r>
          <m:rPr>
            <m:sty m:val="p"/>
          </m:rPr>
          <w:rPr>
            <w:rFonts w:ascii="Cambria Math" w:eastAsiaTheme="minorEastAsia" w:hAnsi="Cambria Math"/>
            <w:sz w:val="24"/>
            <w:szCs w:val="24"/>
          </w:rPr>
          <m:t>)=</m:t>
        </m:r>
      </m:oMath>
      <w:r w:rsidRPr="003B6C66">
        <w:rPr>
          <w:rFonts w:eastAsiaTheme="minorEastAsia"/>
          <w:sz w:val="24"/>
          <w:szCs w:val="24"/>
        </w:rPr>
        <w:t xml:space="preserve">0;  </w:t>
      </w:r>
      <m:oMath>
        <m:r>
          <m:rPr>
            <m:sty m:val="p"/>
          </m:rPr>
          <w:rPr>
            <w:rFonts w:ascii="Cambria Math" w:eastAsiaTheme="minorEastAsia" w:hAnsi="Cambria Math"/>
            <w:sz w:val="24"/>
            <w:szCs w:val="24"/>
          </w:rPr>
          <m:t>E(</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μ</m:t>
            </m:r>
          </m:e>
          <m:sub>
            <m:r>
              <w:rPr>
                <w:rFonts w:ascii="Cambria Math" w:eastAsiaTheme="minorEastAsia" w:hAnsi="Cambria Math"/>
                <w:sz w:val="24"/>
                <w:szCs w:val="24"/>
                <w:lang w:val="es-CL"/>
              </w:rPr>
              <m:t>t</m:t>
            </m:r>
          </m:sub>
        </m:sSub>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μ</m:t>
            </m:r>
          </m:e>
          <m:sub>
            <m:r>
              <w:rPr>
                <w:rFonts w:ascii="Cambria Math" w:eastAsiaTheme="minorEastAsia" w:hAnsi="Cambria Math"/>
                <w:sz w:val="24"/>
                <w:szCs w:val="24"/>
                <w:lang w:val="es-CL"/>
              </w:rPr>
              <m:t>t</m:t>
            </m:r>
          </m:sub>
        </m:sSub>
        <m:r>
          <m:rPr>
            <m:sty m:val="p"/>
          </m:rPr>
          <w:rPr>
            <w:rFonts w:ascii="Cambria Math" w:eastAsiaTheme="minorEastAsia" w:hAnsi="Cambria Math"/>
            <w:sz w:val="24"/>
            <w:szCs w:val="24"/>
          </w:rPr>
          <m:t>')=</m:t>
        </m:r>
        <m:r>
          <m:rPr>
            <m:sty m:val="p"/>
          </m:rPr>
          <w:rPr>
            <w:rFonts w:ascii="Cambria Math" w:eastAsiaTheme="minorEastAsia" w:hAnsi="Cambria Math"/>
            <w:sz w:val="24"/>
            <w:szCs w:val="24"/>
            <w:lang w:val="es-CL"/>
          </w:rPr>
          <m:t>Σ</m:t>
        </m:r>
      </m:oMath>
      <w:r w:rsidRPr="003B6C66">
        <w:rPr>
          <w:rFonts w:eastAsiaTheme="minorEastAsia"/>
          <w:sz w:val="24"/>
          <w:szCs w:val="24"/>
        </w:rPr>
        <w:t xml:space="preserve">   and  </w:t>
      </w:r>
      <m:oMath>
        <m:r>
          <m:rPr>
            <m:sty m:val="p"/>
          </m:rPr>
          <w:rPr>
            <w:rFonts w:ascii="Cambria Math" w:eastAsiaTheme="minorEastAsia" w:hAnsi="Cambria Math"/>
            <w:sz w:val="24"/>
            <w:szCs w:val="24"/>
          </w:rPr>
          <m:t>E(</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μ</m:t>
            </m:r>
          </m:e>
          <m:sub>
            <m:r>
              <w:rPr>
                <w:rFonts w:ascii="Cambria Math" w:eastAsiaTheme="minorEastAsia" w:hAnsi="Cambria Math"/>
                <w:sz w:val="24"/>
                <w:szCs w:val="24"/>
                <w:lang w:val="es-CL"/>
              </w:rPr>
              <m:t>t</m:t>
            </m:r>
          </m:sub>
        </m:sSub>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μ</m:t>
            </m:r>
          </m:e>
          <m:sub>
            <m:r>
              <w:rPr>
                <w:rFonts w:ascii="Cambria Math" w:eastAsiaTheme="minorEastAsia" w:hAnsi="Cambria Math"/>
                <w:sz w:val="24"/>
                <w:szCs w:val="24"/>
                <w:lang w:val="es-CL"/>
              </w:rPr>
              <m:t>s</m:t>
            </m:r>
          </m:sub>
        </m:sSub>
        <m:r>
          <m:rPr>
            <m:sty m:val="p"/>
          </m:rPr>
          <w:rPr>
            <w:rFonts w:ascii="Cambria Math" w:eastAsiaTheme="minorEastAsia" w:hAnsi="Cambria Math"/>
            <w:sz w:val="24"/>
            <w:szCs w:val="24"/>
          </w:rPr>
          <m:t>')=0</m:t>
        </m:r>
      </m:oMath>
      <w:r w:rsidRPr="003B6C66">
        <w:rPr>
          <w:rFonts w:eastAsiaTheme="minorEastAsia"/>
          <w:sz w:val="24"/>
          <w:szCs w:val="24"/>
        </w:rPr>
        <w:t xml:space="preserve">  para </w:t>
      </w:r>
      <m:oMath>
        <m:r>
          <w:rPr>
            <w:rFonts w:ascii="Cambria Math" w:eastAsiaTheme="minorEastAsia" w:hAnsi="Cambria Math"/>
            <w:sz w:val="24"/>
            <w:szCs w:val="24"/>
            <w:lang w:val="es-CL"/>
          </w:rPr>
          <m:t>t</m:t>
        </m:r>
        <m:r>
          <w:rPr>
            <w:rFonts w:ascii="Cambria Math" w:eastAsiaTheme="minorEastAsia" w:hAnsi="Cambria Math"/>
            <w:sz w:val="24"/>
            <w:szCs w:val="24"/>
          </w:rPr>
          <m:t>≠</m:t>
        </m:r>
        <m:r>
          <w:rPr>
            <w:rFonts w:ascii="Cambria Math" w:eastAsiaTheme="minorEastAsia" w:hAnsi="Cambria Math"/>
            <w:sz w:val="24"/>
            <w:szCs w:val="24"/>
            <w:lang w:val="es-CL"/>
          </w:rPr>
          <m:t>s</m:t>
        </m:r>
      </m:oMath>
      <w:r w:rsidRPr="003B6C66">
        <w:rPr>
          <w:rFonts w:eastAsiaTheme="minorEastAsia"/>
          <w:sz w:val="24"/>
          <w:szCs w:val="24"/>
        </w:rPr>
        <w:t>.</w:t>
      </w:r>
    </w:p>
    <w:p w14:paraId="4B380CB9" w14:textId="6A358682" w:rsidR="00840C7B" w:rsidRPr="003B6C66" w:rsidRDefault="003A5675" w:rsidP="00FF01AC">
      <w:pPr>
        <w:jc w:val="both"/>
        <w:rPr>
          <w:rFonts w:eastAsiaTheme="minorEastAsia"/>
          <w:sz w:val="24"/>
          <w:szCs w:val="24"/>
        </w:rPr>
      </w:pPr>
      <w:r w:rsidRPr="003B6C66">
        <w:rPr>
          <w:rFonts w:eastAsiaTheme="minorEastAsia"/>
          <w:sz w:val="24"/>
          <w:szCs w:val="24"/>
        </w:rPr>
        <w:t xml:space="preserve">To select the lag model that best fits the data, we apply the Bayesian Information Criterion (BIC) model selection criterion. There is diverse evidence that shows that this criterion is one of those that achieves the best predictive performance (Lütkepohl (1985) and Clark (2004)). </w:t>
      </w:r>
      <w:r w:rsidR="00564BA4">
        <w:rPr>
          <w:rFonts w:eastAsiaTheme="minorEastAsia"/>
          <w:sz w:val="24"/>
          <w:szCs w:val="24"/>
        </w:rPr>
        <w:t xml:space="preserve">We also used </w:t>
      </w:r>
      <w:r w:rsidRPr="003B6C66">
        <w:rPr>
          <w:rFonts w:eastAsiaTheme="minorEastAsia"/>
          <w:sz w:val="24"/>
          <w:szCs w:val="24"/>
        </w:rPr>
        <w:t>the Akaike Information Criterion (AIC) and found that</w:t>
      </w:r>
      <w:r w:rsidR="00564BA4">
        <w:rPr>
          <w:rFonts w:eastAsiaTheme="minorEastAsia"/>
          <w:sz w:val="24"/>
          <w:szCs w:val="24"/>
        </w:rPr>
        <w:t>,</w:t>
      </w:r>
      <w:r w:rsidRPr="003B6C66">
        <w:rPr>
          <w:rFonts w:eastAsiaTheme="minorEastAsia"/>
          <w:sz w:val="24"/>
          <w:szCs w:val="24"/>
        </w:rPr>
        <w:t xml:space="preserve"> after applying different specifications for model (5), both criteria suggest that the model that best fits the data is a VAR (1), so we select the following model for the estimates</w:t>
      </w:r>
      <w:r>
        <w:rPr>
          <w:rStyle w:val="Refdenotaalpie"/>
          <w:rFonts w:eastAsiaTheme="minorEastAsia"/>
          <w:sz w:val="24"/>
          <w:szCs w:val="24"/>
          <w:lang w:val="es-CL"/>
        </w:rPr>
        <w:footnoteReference w:id="7"/>
      </w:r>
    </w:p>
    <w:p w14:paraId="506B94B9" w14:textId="220B2691" w:rsidR="00840C7B" w:rsidRPr="003B6C66" w:rsidRDefault="0062217F" w:rsidP="00E3292E">
      <w:pPr>
        <w:jc w:val="center"/>
        <w:rPr>
          <w:rFonts w:eastAsiaTheme="minorEastAsia"/>
          <w:sz w:val="24"/>
          <w:szCs w:val="24"/>
        </w:rPr>
      </w:p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y</m:t>
            </m:r>
          </m:e>
          <m:sub>
            <m:r>
              <w:rPr>
                <w:rFonts w:ascii="Cambria Math" w:eastAsiaTheme="minorEastAsia" w:hAnsi="Cambria Math"/>
                <w:sz w:val="24"/>
                <w:szCs w:val="24"/>
                <w:lang w:val="es-CL"/>
              </w:rPr>
              <m:t>t</m:t>
            </m:r>
          </m:sub>
        </m:sSub>
        <m:r>
          <w:rPr>
            <w:rFonts w:ascii="Cambria Math" w:eastAsiaTheme="minorEastAsia" w:hAnsi="Cambria Math"/>
            <w:sz w:val="24"/>
            <w:szCs w:val="24"/>
          </w:rPr>
          <m:t>=</m:t>
        </m:r>
        <m:r>
          <w:rPr>
            <w:rFonts w:ascii="Cambria Math" w:eastAsiaTheme="minorEastAsia" w:hAnsi="Cambria Math"/>
            <w:sz w:val="24"/>
            <w:szCs w:val="24"/>
            <w:lang w:val="es-CL"/>
          </w:rPr>
          <m:t>ν</m:t>
        </m:r>
        <m:r>
          <w:rPr>
            <w:rFonts w:ascii="Cambria Math" w:eastAsiaTheme="minorEastAsia" w:hAnsi="Cambria Math"/>
            <w:sz w:val="24"/>
            <w:szCs w:val="24"/>
          </w:rPr>
          <m:t>+</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A</m:t>
            </m:r>
          </m:e>
          <m:sub>
            <m:r>
              <w:rPr>
                <w:rFonts w:ascii="Cambria Math" w:eastAsiaTheme="minorEastAsia" w:hAnsi="Cambria Math"/>
                <w:sz w:val="24"/>
                <w:szCs w:val="24"/>
              </w:rPr>
              <m:t>1</m:t>
            </m:r>
          </m:sub>
        </m:sSub>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y</m:t>
            </m:r>
          </m:e>
          <m:sub>
            <m:r>
              <w:rPr>
                <w:rFonts w:ascii="Cambria Math" w:eastAsiaTheme="minorEastAsia" w:hAnsi="Cambria Math"/>
                <w:sz w:val="24"/>
                <w:szCs w:val="24"/>
                <w:lang w:val="es-CL"/>
              </w:rPr>
              <m:t>t</m:t>
            </m:r>
            <m:r>
              <w:rPr>
                <w:rFonts w:ascii="Cambria Math" w:eastAsiaTheme="minorEastAsia" w:hAnsi="Cambria Math"/>
                <w:sz w:val="24"/>
                <w:szCs w:val="24"/>
              </w:rPr>
              <m:t>-1</m:t>
            </m:r>
          </m:sub>
        </m:sSub>
        <m:r>
          <w:rPr>
            <w:rFonts w:ascii="Cambria Math" w:eastAsiaTheme="minorEastAsia" w:hAnsi="Cambria Math"/>
            <w:sz w:val="24"/>
            <w:szCs w:val="24"/>
          </w:rPr>
          <m:t>+</m:t>
        </m:r>
        <m:r>
          <w:rPr>
            <w:rFonts w:ascii="Cambria Math" w:eastAsiaTheme="minorEastAsia" w:hAnsi="Cambria Math"/>
            <w:sz w:val="24"/>
            <w:szCs w:val="24"/>
            <w:lang w:val="es-CL"/>
          </w:rPr>
          <m:t>B</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x</m:t>
            </m:r>
          </m:e>
          <m:sub>
            <m:r>
              <w:rPr>
                <w:rFonts w:ascii="Cambria Math" w:eastAsiaTheme="minorEastAsia" w:hAnsi="Cambria Math"/>
                <w:sz w:val="24"/>
                <w:szCs w:val="24"/>
                <w:lang w:val="es-CL"/>
              </w:rPr>
              <m:t>t</m:t>
            </m:r>
          </m:sub>
        </m:sSub>
        <m:r>
          <w:rPr>
            <w:rFonts w:ascii="Cambria Math" w:eastAsiaTheme="minorEastAsia" w:hAnsi="Cambria Math"/>
            <w:sz w:val="24"/>
            <w:szCs w:val="24"/>
          </w:rPr>
          <m:t>+</m:t>
        </m:r>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μ</m:t>
            </m:r>
          </m:e>
          <m:sub>
            <m:r>
              <w:rPr>
                <w:rFonts w:ascii="Cambria Math" w:eastAsiaTheme="minorEastAsia" w:hAnsi="Cambria Math"/>
                <w:sz w:val="24"/>
                <w:szCs w:val="24"/>
                <w:lang w:val="es-CL"/>
              </w:rPr>
              <m:t>t</m:t>
            </m:r>
          </m:sub>
        </m:sSub>
      </m:oMath>
      <w:r w:rsidR="002260E0" w:rsidRPr="003B6C66">
        <w:rPr>
          <w:rFonts w:eastAsiaTheme="minorEastAsia"/>
          <w:sz w:val="24"/>
          <w:szCs w:val="24"/>
        </w:rPr>
        <w:t xml:space="preserve"> </w:t>
      </w:r>
      <w:r w:rsidR="002260E0" w:rsidRPr="003B6C66">
        <w:rPr>
          <w:rFonts w:eastAsiaTheme="minorEastAsia"/>
          <w:sz w:val="24"/>
          <w:szCs w:val="24"/>
        </w:rPr>
        <w:tab/>
      </w:r>
      <w:r w:rsidR="00F72072" w:rsidRPr="003B6C66">
        <w:rPr>
          <w:rFonts w:eastAsiaTheme="minorEastAsia"/>
          <w:sz w:val="24"/>
          <w:szCs w:val="24"/>
        </w:rPr>
        <w:t xml:space="preserve"> </w:t>
      </w:r>
      <w:r w:rsidR="002260E0" w:rsidRPr="003B6C66">
        <w:rPr>
          <w:rFonts w:eastAsiaTheme="minorEastAsia"/>
          <w:sz w:val="24"/>
          <w:szCs w:val="24"/>
        </w:rPr>
        <w:t>(</w:t>
      </w:r>
      <w:r w:rsidR="003D1148" w:rsidRPr="003B6C66">
        <w:rPr>
          <w:rFonts w:eastAsiaTheme="minorEastAsia"/>
          <w:sz w:val="24"/>
          <w:szCs w:val="24"/>
        </w:rPr>
        <w:t>6</w:t>
      </w:r>
      <w:r w:rsidR="002260E0" w:rsidRPr="003B6C66">
        <w:rPr>
          <w:rFonts w:eastAsiaTheme="minorEastAsia"/>
          <w:sz w:val="24"/>
          <w:szCs w:val="24"/>
        </w:rPr>
        <w:t>)</w:t>
      </w:r>
    </w:p>
    <w:p w14:paraId="48383D10" w14:textId="3B758875" w:rsidR="00CF211A" w:rsidRDefault="00F82819" w:rsidP="000E2483">
      <w:pPr>
        <w:jc w:val="both"/>
        <w:rPr>
          <w:rFonts w:eastAsiaTheme="minorEastAsia"/>
          <w:sz w:val="24"/>
          <w:szCs w:val="24"/>
        </w:rPr>
      </w:pPr>
      <w:r w:rsidRPr="003B6C66">
        <w:rPr>
          <w:rFonts w:eastAsiaTheme="minorEastAsia"/>
          <w:sz w:val="24"/>
          <w:szCs w:val="24"/>
        </w:rPr>
        <w:t xml:space="preserve">Where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y</m:t>
            </m:r>
          </m:e>
          <m:sub>
            <m:r>
              <w:rPr>
                <w:rFonts w:ascii="Cambria Math" w:eastAsiaTheme="minorEastAsia" w:hAnsi="Cambria Math"/>
                <w:sz w:val="24"/>
                <w:szCs w:val="24"/>
                <w:lang w:val="es-CL"/>
              </w:rPr>
              <m:t>t</m:t>
            </m:r>
          </m:sub>
        </m:sSub>
      </m:oMath>
      <w:r w:rsidRPr="003B6C66">
        <w:rPr>
          <w:rFonts w:eastAsiaTheme="minorEastAsia"/>
          <w:sz w:val="24"/>
          <w:szCs w:val="24"/>
        </w:rPr>
        <w:t xml:space="preserve"> is a </w:t>
      </w:r>
      <m:oMath>
        <m:r>
          <w:rPr>
            <w:rFonts w:ascii="Cambria Math" w:eastAsiaTheme="minorEastAsia" w:hAnsi="Cambria Math"/>
            <w:sz w:val="24"/>
            <w:szCs w:val="24"/>
          </w:rPr>
          <m:t xml:space="preserve">(3 </m:t>
        </m:r>
        <m:r>
          <w:rPr>
            <w:rFonts w:ascii="Cambria Math" w:eastAsiaTheme="minorEastAsia" w:hAnsi="Cambria Math"/>
            <w:sz w:val="24"/>
            <w:szCs w:val="24"/>
            <w:lang w:val="es-CL"/>
          </w:rPr>
          <m:t>x</m:t>
        </m:r>
        <m:r>
          <w:rPr>
            <w:rFonts w:ascii="Cambria Math" w:eastAsiaTheme="minorEastAsia" w:hAnsi="Cambria Math"/>
            <w:sz w:val="24"/>
            <w:szCs w:val="24"/>
          </w:rPr>
          <m:t xml:space="preserve"> 1)</m:t>
        </m:r>
      </m:oMath>
      <w:r w:rsidRPr="003B6C66">
        <w:rPr>
          <w:rFonts w:eastAsiaTheme="minorEastAsia"/>
          <w:sz w:val="24"/>
          <w:szCs w:val="24"/>
        </w:rPr>
        <w:t xml:space="preserve"> vector of the endogenous variables considered, that is, domestic inflation, the variation of the nominal exchange rate and the variation of the Monetary Policy Rate (TPM).</w:t>
      </w:r>
      <w:r w:rsidR="006211FF">
        <w:rPr>
          <w:rFonts w:eastAsiaTheme="minorEastAsia"/>
          <w:sz w:val="24"/>
          <w:szCs w:val="24"/>
        </w:rPr>
        <w:t xml:space="preserve"> </w:t>
      </w:r>
      <w:r w:rsidR="006211FF" w:rsidRPr="006211FF">
        <w:rPr>
          <w:rFonts w:eastAsiaTheme="minorEastAsia"/>
          <w:sz w:val="24"/>
          <w:szCs w:val="24"/>
        </w:rPr>
        <w:t xml:space="preserve">In addition, the vector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x</m:t>
            </m:r>
          </m:e>
          <m:sub>
            <m:r>
              <w:rPr>
                <w:rFonts w:ascii="Cambria Math" w:eastAsiaTheme="minorEastAsia" w:hAnsi="Cambria Math"/>
                <w:sz w:val="24"/>
                <w:szCs w:val="24"/>
                <w:lang w:val="es-CL"/>
              </w:rPr>
              <m:t>t</m:t>
            </m:r>
          </m:sub>
        </m:sSub>
      </m:oMath>
      <w:r w:rsidR="006211FF" w:rsidRPr="006211FF">
        <w:rPr>
          <w:rFonts w:eastAsiaTheme="minorEastAsia"/>
          <w:sz w:val="24"/>
          <w:szCs w:val="24"/>
        </w:rPr>
        <w:t xml:space="preserve"> contains the inflation of the United States, China and the Eurozone.</w:t>
      </w:r>
      <w:r w:rsidR="00157D4A">
        <w:rPr>
          <w:rFonts w:eastAsiaTheme="minorEastAsia"/>
          <w:sz w:val="24"/>
          <w:szCs w:val="24"/>
        </w:rPr>
        <w:t xml:space="preserve"> </w:t>
      </w:r>
      <w:r w:rsidR="007542DD" w:rsidRPr="003B6C66">
        <w:rPr>
          <w:rFonts w:eastAsiaTheme="minorEastAsia"/>
          <w:sz w:val="24"/>
          <w:szCs w:val="24"/>
        </w:rPr>
        <w:t>Analyzing the stability of the specification (6) it is obtained that all the eigenvalues ​​are in the unit circle, then the model is stable and allows us to carry out analyzes on the results obtained in the estimations.</w:t>
      </w:r>
    </w:p>
    <w:p w14:paraId="7EB6B09B" w14:textId="308B5998" w:rsidR="007542DD" w:rsidRPr="003B6C66" w:rsidRDefault="007542DD" w:rsidP="000E2483">
      <w:pPr>
        <w:jc w:val="both"/>
        <w:rPr>
          <w:rFonts w:eastAsiaTheme="minorEastAsia"/>
          <w:sz w:val="24"/>
          <w:szCs w:val="24"/>
        </w:rPr>
      </w:pPr>
      <w:r w:rsidRPr="003B6C66">
        <w:rPr>
          <w:rFonts w:eastAsiaTheme="minorEastAsia"/>
          <w:sz w:val="24"/>
          <w:szCs w:val="24"/>
        </w:rPr>
        <w:t xml:space="preserve">The next subsection presents the results of the estimates and the dynamic relationships between domestic inflation, the variation in the nominal exchange rate and the variation in the Monetary Policy Rate, for this the orthogonalized impulse response functions (IRF) of a shock in the variation of the TPM and a shock in the variation of the nominal exchange rate on inflation are analyzed. These IRFs are calculated using the Cholesky decomposition, this allows us to analyze </w:t>
      </w:r>
      <w:r w:rsidRPr="003B6C66">
        <w:rPr>
          <w:rFonts w:eastAsiaTheme="minorEastAsia"/>
          <w:sz w:val="24"/>
          <w:szCs w:val="24"/>
        </w:rPr>
        <w:lastRenderedPageBreak/>
        <w:t>the direct effect of the shock on inflation. Additionally, Granger causality tests are performed and the prediction error is decomposed.</w:t>
      </w:r>
    </w:p>
    <w:p w14:paraId="49A0B94D" w14:textId="4C09EC78" w:rsidR="00A92FA2" w:rsidRPr="003B6C66" w:rsidRDefault="00A92FA2" w:rsidP="000E2483">
      <w:pPr>
        <w:jc w:val="both"/>
        <w:rPr>
          <w:rFonts w:eastAsiaTheme="minorEastAsia"/>
          <w:i/>
          <w:iCs/>
          <w:sz w:val="24"/>
          <w:szCs w:val="24"/>
        </w:rPr>
      </w:pPr>
      <w:r w:rsidRPr="003B6C66">
        <w:rPr>
          <w:rFonts w:eastAsiaTheme="minorEastAsia"/>
          <w:i/>
          <w:iCs/>
          <w:sz w:val="24"/>
          <w:szCs w:val="24"/>
        </w:rPr>
        <w:t xml:space="preserve">Data. </w:t>
      </w:r>
      <w:r w:rsidRPr="003B6C66">
        <w:rPr>
          <w:rFonts w:eastAsiaTheme="minorEastAsia"/>
          <w:sz w:val="24"/>
          <w:szCs w:val="24"/>
        </w:rPr>
        <w:t>The data used in the estimates is the same as the model in the previous section, that is, data from monthly first differences in the period 2000-2021.</w:t>
      </w:r>
    </w:p>
    <w:p w14:paraId="15E41C75" w14:textId="77777777" w:rsidR="00195FA5" w:rsidRPr="003B6C66" w:rsidRDefault="00195FA5" w:rsidP="000E2483">
      <w:pPr>
        <w:jc w:val="both"/>
        <w:rPr>
          <w:rFonts w:eastAsiaTheme="minorEastAsia"/>
          <w:sz w:val="24"/>
          <w:szCs w:val="24"/>
        </w:rPr>
      </w:pPr>
    </w:p>
    <w:p w14:paraId="4FE49E73" w14:textId="5275A123" w:rsidR="00B16E60" w:rsidRPr="003B6C66" w:rsidRDefault="005B5904" w:rsidP="00B16E60">
      <w:pPr>
        <w:jc w:val="both"/>
        <w:rPr>
          <w:rFonts w:eastAsiaTheme="minorEastAsia"/>
          <w:b/>
          <w:bCs/>
          <w:i/>
          <w:iCs/>
          <w:sz w:val="24"/>
          <w:szCs w:val="24"/>
        </w:rPr>
      </w:pPr>
      <w:r w:rsidRPr="003B6C66">
        <w:rPr>
          <w:rFonts w:eastAsiaTheme="minorEastAsia"/>
          <w:b/>
          <w:bCs/>
          <w:i/>
          <w:iCs/>
          <w:sz w:val="24"/>
          <w:szCs w:val="24"/>
        </w:rPr>
        <w:tab/>
      </w:r>
      <w:r w:rsidR="00DB4220" w:rsidRPr="003B6C66">
        <w:rPr>
          <w:rFonts w:eastAsiaTheme="minorEastAsia"/>
          <w:b/>
          <w:bCs/>
          <w:i/>
          <w:iCs/>
          <w:sz w:val="24"/>
          <w:szCs w:val="24"/>
        </w:rPr>
        <w:t>4</w:t>
      </w:r>
      <w:r w:rsidRPr="003B6C66">
        <w:rPr>
          <w:rFonts w:eastAsiaTheme="minorEastAsia"/>
          <w:b/>
          <w:bCs/>
          <w:i/>
          <w:iCs/>
          <w:sz w:val="24"/>
          <w:szCs w:val="24"/>
        </w:rPr>
        <w:t xml:space="preserve">.1 </w:t>
      </w:r>
      <w:r w:rsidR="00DB4220" w:rsidRPr="003B6C66">
        <w:rPr>
          <w:rFonts w:eastAsiaTheme="minorEastAsia"/>
          <w:b/>
          <w:bCs/>
          <w:i/>
          <w:iCs/>
          <w:sz w:val="24"/>
          <w:szCs w:val="24"/>
        </w:rPr>
        <w:t>VAR</w:t>
      </w:r>
      <w:r w:rsidR="007D0FEC" w:rsidRPr="003B6C66">
        <w:rPr>
          <w:rFonts w:eastAsiaTheme="minorEastAsia"/>
          <w:b/>
          <w:bCs/>
          <w:i/>
          <w:iCs/>
          <w:sz w:val="24"/>
          <w:szCs w:val="24"/>
        </w:rPr>
        <w:t>: Results</w:t>
      </w:r>
    </w:p>
    <w:p w14:paraId="43361BFA" w14:textId="24B7CC10" w:rsidR="00B16E60" w:rsidRDefault="00B16E60" w:rsidP="00B16E60">
      <w:pPr>
        <w:jc w:val="both"/>
        <w:rPr>
          <w:rFonts w:eastAsiaTheme="minorEastAsia"/>
          <w:sz w:val="24"/>
          <w:szCs w:val="24"/>
        </w:rPr>
      </w:pPr>
      <w:r w:rsidRPr="003B6C66">
        <w:rPr>
          <w:rFonts w:eastAsiaTheme="minorEastAsia"/>
          <w:sz w:val="24"/>
          <w:szCs w:val="24"/>
        </w:rPr>
        <w:t>The results of the estimations of the model (6) are presented below.</w:t>
      </w:r>
    </w:p>
    <w:p w14:paraId="3A1C37E9" w14:textId="11288027" w:rsidR="003767B2" w:rsidRPr="003767B2" w:rsidRDefault="003767B2" w:rsidP="00B16E60">
      <w:pPr>
        <w:jc w:val="both"/>
        <w:rPr>
          <w:rFonts w:eastAsiaTheme="minorEastAsia"/>
          <w:sz w:val="24"/>
          <w:szCs w:val="24"/>
          <w:lang w:val="es-CL"/>
        </w:rPr>
      </w:pPr>
      <w:r w:rsidRPr="008818A0">
        <w:rPr>
          <w:rFonts w:eastAsiaTheme="minorEastAsia"/>
          <w:b/>
          <w:bCs/>
          <w:sz w:val="24"/>
          <w:szCs w:val="24"/>
          <w:lang w:val="es-CL"/>
        </w:rPr>
        <w:t xml:space="preserve">Tabla </w:t>
      </w:r>
      <w:r>
        <w:rPr>
          <w:rFonts w:eastAsiaTheme="minorEastAsia"/>
          <w:b/>
          <w:bCs/>
          <w:sz w:val="24"/>
          <w:szCs w:val="24"/>
          <w:lang w:val="es-CL"/>
        </w:rPr>
        <w:t>6. Estimation: VAR(1)</w:t>
      </w:r>
    </w:p>
    <w:tbl>
      <w:tblPr>
        <w:tblStyle w:val="Tablaconcuadrcula"/>
        <w:tblW w:w="0" w:type="auto"/>
        <w:tblLook w:val="04A0" w:firstRow="1" w:lastRow="0" w:firstColumn="1" w:lastColumn="0" w:noHBand="0" w:noVBand="1"/>
      </w:tblPr>
      <w:tblGrid>
        <w:gridCol w:w="1555"/>
        <w:gridCol w:w="1417"/>
        <w:gridCol w:w="1276"/>
        <w:gridCol w:w="850"/>
        <w:gridCol w:w="993"/>
        <w:gridCol w:w="1559"/>
        <w:gridCol w:w="1614"/>
      </w:tblGrid>
      <w:tr w:rsidR="00F83487" w:rsidRPr="001D0CF3" w14:paraId="7B361928" w14:textId="77777777" w:rsidTr="00F83487">
        <w:trPr>
          <w:trHeight w:val="287"/>
        </w:trPr>
        <w:tc>
          <w:tcPr>
            <w:tcW w:w="1555" w:type="dxa"/>
            <w:shd w:val="clear" w:color="auto" w:fill="D9E2F3" w:themeFill="accent1" w:themeFillTint="33"/>
            <w:noWrap/>
            <w:hideMark/>
          </w:tcPr>
          <w:p w14:paraId="151D44A3" w14:textId="0FC92209" w:rsidR="001D0CF3" w:rsidRPr="001D0CF3" w:rsidRDefault="001D0CF3" w:rsidP="00F83487">
            <w:pPr>
              <w:jc w:val="center"/>
              <w:rPr>
                <w:rFonts w:eastAsiaTheme="minorEastAsia"/>
                <w:sz w:val="24"/>
                <w:szCs w:val="24"/>
              </w:rPr>
            </w:pPr>
          </w:p>
        </w:tc>
        <w:tc>
          <w:tcPr>
            <w:tcW w:w="1417" w:type="dxa"/>
            <w:shd w:val="clear" w:color="auto" w:fill="D9E2F3" w:themeFill="accent1" w:themeFillTint="33"/>
            <w:noWrap/>
            <w:hideMark/>
          </w:tcPr>
          <w:p w14:paraId="1EDECC73" w14:textId="77777777" w:rsidR="001D0CF3" w:rsidRPr="00AA7C76" w:rsidRDefault="001D0CF3" w:rsidP="00F83487">
            <w:pPr>
              <w:jc w:val="center"/>
              <w:rPr>
                <w:rFonts w:eastAsiaTheme="minorEastAsia"/>
                <w:b/>
                <w:bCs/>
                <w:sz w:val="24"/>
                <w:szCs w:val="24"/>
              </w:rPr>
            </w:pPr>
            <w:r w:rsidRPr="00AA7C76">
              <w:rPr>
                <w:rFonts w:eastAsiaTheme="minorEastAsia"/>
                <w:b/>
                <w:bCs/>
                <w:sz w:val="24"/>
                <w:szCs w:val="24"/>
              </w:rPr>
              <w:t>Coefficient</w:t>
            </w:r>
          </w:p>
        </w:tc>
        <w:tc>
          <w:tcPr>
            <w:tcW w:w="1276" w:type="dxa"/>
            <w:shd w:val="clear" w:color="auto" w:fill="D9E2F3" w:themeFill="accent1" w:themeFillTint="33"/>
            <w:noWrap/>
            <w:hideMark/>
          </w:tcPr>
          <w:p w14:paraId="64562A32" w14:textId="77777777" w:rsidR="001D0CF3" w:rsidRPr="00AA7C76" w:rsidRDefault="001D0CF3" w:rsidP="00F83487">
            <w:pPr>
              <w:jc w:val="center"/>
              <w:rPr>
                <w:rFonts w:eastAsiaTheme="minorEastAsia"/>
                <w:b/>
                <w:bCs/>
                <w:sz w:val="24"/>
                <w:szCs w:val="24"/>
              </w:rPr>
            </w:pPr>
            <w:r w:rsidRPr="00AA7C76">
              <w:rPr>
                <w:rFonts w:eastAsiaTheme="minorEastAsia"/>
                <w:b/>
                <w:bCs/>
                <w:sz w:val="24"/>
                <w:szCs w:val="24"/>
              </w:rPr>
              <w:t>Std. err.</w:t>
            </w:r>
          </w:p>
        </w:tc>
        <w:tc>
          <w:tcPr>
            <w:tcW w:w="850" w:type="dxa"/>
            <w:shd w:val="clear" w:color="auto" w:fill="D9E2F3" w:themeFill="accent1" w:themeFillTint="33"/>
            <w:noWrap/>
            <w:hideMark/>
          </w:tcPr>
          <w:p w14:paraId="589DB8DF" w14:textId="77777777" w:rsidR="001D0CF3" w:rsidRPr="00AA7C76" w:rsidRDefault="001D0CF3" w:rsidP="00F83487">
            <w:pPr>
              <w:jc w:val="center"/>
              <w:rPr>
                <w:rFonts w:eastAsiaTheme="minorEastAsia"/>
                <w:b/>
                <w:bCs/>
                <w:sz w:val="24"/>
                <w:szCs w:val="24"/>
              </w:rPr>
            </w:pPr>
            <w:r w:rsidRPr="00AA7C76">
              <w:rPr>
                <w:rFonts w:eastAsiaTheme="minorEastAsia"/>
                <w:b/>
                <w:bCs/>
                <w:sz w:val="24"/>
                <w:szCs w:val="24"/>
              </w:rPr>
              <w:t>z</w:t>
            </w:r>
          </w:p>
        </w:tc>
        <w:tc>
          <w:tcPr>
            <w:tcW w:w="993" w:type="dxa"/>
            <w:shd w:val="clear" w:color="auto" w:fill="D9E2F3" w:themeFill="accent1" w:themeFillTint="33"/>
            <w:noWrap/>
            <w:hideMark/>
          </w:tcPr>
          <w:p w14:paraId="35CA34C1" w14:textId="32A65420" w:rsidR="001D0CF3" w:rsidRPr="00AA7C76" w:rsidRDefault="001D0CF3" w:rsidP="00F83487">
            <w:pPr>
              <w:jc w:val="center"/>
              <w:rPr>
                <w:rFonts w:eastAsiaTheme="minorEastAsia"/>
                <w:b/>
                <w:bCs/>
                <w:sz w:val="24"/>
                <w:szCs w:val="24"/>
              </w:rPr>
            </w:pPr>
            <w:r w:rsidRPr="00AA7C76">
              <w:rPr>
                <w:rFonts w:eastAsiaTheme="minorEastAsia"/>
                <w:b/>
                <w:bCs/>
                <w:sz w:val="24"/>
                <w:szCs w:val="24"/>
              </w:rPr>
              <w:t>P&gt;</w:t>
            </w:r>
            <w:r w:rsidR="00F83487">
              <w:rPr>
                <w:rFonts w:eastAsiaTheme="minorEastAsia"/>
                <w:b/>
                <w:bCs/>
                <w:sz w:val="24"/>
                <w:szCs w:val="24"/>
              </w:rPr>
              <w:t>|</w:t>
            </w:r>
            <w:r w:rsidRPr="00AA7C76">
              <w:rPr>
                <w:rFonts w:eastAsiaTheme="minorEastAsia"/>
                <w:b/>
                <w:bCs/>
                <w:sz w:val="24"/>
                <w:szCs w:val="24"/>
              </w:rPr>
              <w:t>z</w:t>
            </w:r>
            <w:r w:rsidR="00F83487">
              <w:rPr>
                <w:rFonts w:eastAsiaTheme="minorEastAsia"/>
                <w:b/>
                <w:bCs/>
                <w:sz w:val="24"/>
                <w:szCs w:val="24"/>
              </w:rPr>
              <w:t>|</w:t>
            </w:r>
          </w:p>
        </w:tc>
        <w:tc>
          <w:tcPr>
            <w:tcW w:w="3173" w:type="dxa"/>
            <w:gridSpan w:val="2"/>
            <w:shd w:val="clear" w:color="auto" w:fill="D9E2F3" w:themeFill="accent1" w:themeFillTint="33"/>
            <w:noWrap/>
            <w:hideMark/>
          </w:tcPr>
          <w:p w14:paraId="29569F9D" w14:textId="77777777" w:rsidR="001D0CF3" w:rsidRPr="00AA7C76" w:rsidRDefault="001D0CF3" w:rsidP="00F83487">
            <w:pPr>
              <w:jc w:val="center"/>
              <w:rPr>
                <w:rFonts w:eastAsiaTheme="minorEastAsia"/>
                <w:b/>
                <w:bCs/>
                <w:sz w:val="24"/>
                <w:szCs w:val="24"/>
              </w:rPr>
            </w:pPr>
            <w:r w:rsidRPr="00AA7C76">
              <w:rPr>
                <w:rFonts w:eastAsiaTheme="minorEastAsia"/>
                <w:b/>
                <w:bCs/>
                <w:sz w:val="24"/>
                <w:szCs w:val="24"/>
              </w:rPr>
              <w:t>Confidence Interval (90%)</w:t>
            </w:r>
          </w:p>
        </w:tc>
      </w:tr>
      <w:tr w:rsidR="00F83487" w:rsidRPr="001D0CF3" w14:paraId="116CB75E" w14:textId="77777777" w:rsidTr="00F83487">
        <w:trPr>
          <w:trHeight w:val="287"/>
        </w:trPr>
        <w:tc>
          <w:tcPr>
            <w:tcW w:w="1555" w:type="dxa"/>
            <w:noWrap/>
            <w:hideMark/>
          </w:tcPr>
          <w:p w14:paraId="65700C8A" w14:textId="050F49D6" w:rsidR="001D0CF3" w:rsidRPr="00AA7C76" w:rsidRDefault="00AA7C76" w:rsidP="001D0CF3">
            <w:pPr>
              <w:jc w:val="both"/>
              <w:rPr>
                <w:rFonts w:eastAsiaTheme="minorEastAsia"/>
                <w:sz w:val="24"/>
                <w:szCs w:val="24"/>
              </w:rPr>
            </w:pPr>
            <m:oMathPara>
              <m:oMathParaPr>
                <m:jc m:val="left"/>
              </m:oMathParaPr>
              <m:oMath>
                <m:r>
                  <m:rPr>
                    <m:sty m:val="bi"/>
                  </m:rPr>
                  <w:rPr>
                    <w:rFonts w:ascii="Cambria Math" w:eastAsia="Times New Roman" w:hAnsi="Cambria Math" w:cs="Calibri"/>
                    <w:color w:val="000000"/>
                  </w:rPr>
                  <m:t>∆E</m:t>
                </m:r>
              </m:oMath>
            </m:oMathPara>
          </w:p>
        </w:tc>
        <w:tc>
          <w:tcPr>
            <w:tcW w:w="1417" w:type="dxa"/>
            <w:noWrap/>
            <w:hideMark/>
          </w:tcPr>
          <w:p w14:paraId="169DF176" w14:textId="77777777" w:rsidR="001D0CF3" w:rsidRPr="001D0CF3" w:rsidRDefault="001D0CF3" w:rsidP="001D0CF3">
            <w:pPr>
              <w:jc w:val="both"/>
              <w:rPr>
                <w:rFonts w:eastAsiaTheme="minorEastAsia"/>
                <w:sz w:val="24"/>
                <w:szCs w:val="24"/>
              </w:rPr>
            </w:pPr>
            <w:r w:rsidRPr="001D0CF3">
              <w:rPr>
                <w:rFonts w:eastAsiaTheme="minorEastAsia"/>
                <w:sz w:val="24"/>
                <w:szCs w:val="24"/>
              </w:rPr>
              <w:t> </w:t>
            </w:r>
          </w:p>
        </w:tc>
        <w:tc>
          <w:tcPr>
            <w:tcW w:w="1276" w:type="dxa"/>
            <w:noWrap/>
            <w:hideMark/>
          </w:tcPr>
          <w:p w14:paraId="444501DA" w14:textId="77777777" w:rsidR="001D0CF3" w:rsidRPr="001D0CF3" w:rsidRDefault="001D0CF3" w:rsidP="001D0CF3">
            <w:pPr>
              <w:jc w:val="both"/>
              <w:rPr>
                <w:rFonts w:eastAsiaTheme="minorEastAsia"/>
                <w:sz w:val="24"/>
                <w:szCs w:val="24"/>
              </w:rPr>
            </w:pPr>
            <w:r w:rsidRPr="001D0CF3">
              <w:rPr>
                <w:rFonts w:eastAsiaTheme="minorEastAsia"/>
                <w:sz w:val="24"/>
                <w:szCs w:val="24"/>
              </w:rPr>
              <w:t> </w:t>
            </w:r>
          </w:p>
        </w:tc>
        <w:tc>
          <w:tcPr>
            <w:tcW w:w="850" w:type="dxa"/>
            <w:noWrap/>
            <w:hideMark/>
          </w:tcPr>
          <w:p w14:paraId="2664D4B3" w14:textId="77777777" w:rsidR="001D0CF3" w:rsidRPr="001D0CF3" w:rsidRDefault="001D0CF3" w:rsidP="001D0CF3">
            <w:pPr>
              <w:jc w:val="both"/>
              <w:rPr>
                <w:rFonts w:eastAsiaTheme="minorEastAsia"/>
                <w:sz w:val="24"/>
                <w:szCs w:val="24"/>
              </w:rPr>
            </w:pPr>
            <w:r w:rsidRPr="001D0CF3">
              <w:rPr>
                <w:rFonts w:eastAsiaTheme="minorEastAsia"/>
                <w:sz w:val="24"/>
                <w:szCs w:val="24"/>
              </w:rPr>
              <w:t> </w:t>
            </w:r>
          </w:p>
        </w:tc>
        <w:tc>
          <w:tcPr>
            <w:tcW w:w="993" w:type="dxa"/>
            <w:noWrap/>
            <w:hideMark/>
          </w:tcPr>
          <w:p w14:paraId="05409BF7" w14:textId="77777777" w:rsidR="001D0CF3" w:rsidRPr="001D0CF3" w:rsidRDefault="001D0CF3" w:rsidP="001D0CF3">
            <w:pPr>
              <w:jc w:val="both"/>
              <w:rPr>
                <w:rFonts w:eastAsiaTheme="minorEastAsia"/>
                <w:sz w:val="24"/>
                <w:szCs w:val="24"/>
              </w:rPr>
            </w:pPr>
            <w:r w:rsidRPr="001D0CF3">
              <w:rPr>
                <w:rFonts w:eastAsiaTheme="minorEastAsia"/>
                <w:sz w:val="24"/>
                <w:szCs w:val="24"/>
              </w:rPr>
              <w:t> </w:t>
            </w:r>
          </w:p>
        </w:tc>
        <w:tc>
          <w:tcPr>
            <w:tcW w:w="1559" w:type="dxa"/>
            <w:noWrap/>
            <w:hideMark/>
          </w:tcPr>
          <w:p w14:paraId="1AAC0A68" w14:textId="77777777" w:rsidR="001D0CF3" w:rsidRPr="001D0CF3" w:rsidRDefault="001D0CF3" w:rsidP="001D0CF3">
            <w:pPr>
              <w:jc w:val="both"/>
              <w:rPr>
                <w:rFonts w:eastAsiaTheme="minorEastAsia"/>
                <w:sz w:val="24"/>
                <w:szCs w:val="24"/>
              </w:rPr>
            </w:pPr>
            <w:r w:rsidRPr="001D0CF3">
              <w:rPr>
                <w:rFonts w:eastAsiaTheme="minorEastAsia"/>
                <w:sz w:val="24"/>
                <w:szCs w:val="24"/>
              </w:rPr>
              <w:t> </w:t>
            </w:r>
          </w:p>
        </w:tc>
        <w:tc>
          <w:tcPr>
            <w:tcW w:w="1614" w:type="dxa"/>
            <w:noWrap/>
            <w:hideMark/>
          </w:tcPr>
          <w:p w14:paraId="5517E9AF" w14:textId="77777777" w:rsidR="001D0CF3" w:rsidRPr="001D0CF3" w:rsidRDefault="001D0CF3" w:rsidP="001D0CF3">
            <w:pPr>
              <w:jc w:val="both"/>
              <w:rPr>
                <w:rFonts w:eastAsiaTheme="minorEastAsia"/>
                <w:sz w:val="24"/>
                <w:szCs w:val="24"/>
              </w:rPr>
            </w:pPr>
            <w:r w:rsidRPr="001D0CF3">
              <w:rPr>
                <w:rFonts w:eastAsiaTheme="minorEastAsia"/>
                <w:sz w:val="24"/>
                <w:szCs w:val="24"/>
              </w:rPr>
              <w:t> </w:t>
            </w:r>
          </w:p>
        </w:tc>
      </w:tr>
      <w:tr w:rsidR="00F83487" w:rsidRPr="001D0CF3" w14:paraId="3CC99DEB" w14:textId="77777777" w:rsidTr="00F83487">
        <w:trPr>
          <w:trHeight w:val="287"/>
        </w:trPr>
        <w:tc>
          <w:tcPr>
            <w:tcW w:w="1555" w:type="dxa"/>
            <w:noWrap/>
            <w:vAlign w:val="bottom"/>
            <w:hideMark/>
          </w:tcPr>
          <w:p w14:paraId="12C34DFE" w14:textId="7B8FB402" w:rsidR="00AA4F32" w:rsidRPr="001D0CF3" w:rsidRDefault="00AA4F32" w:rsidP="00AA4F32">
            <w:pPr>
              <w:rPr>
                <w:rFonts w:eastAsiaTheme="minorEastAsia"/>
                <w:sz w:val="24"/>
                <w:szCs w:val="24"/>
              </w:rPr>
            </w:pPr>
            <m:oMath>
              <m:r>
                <w:rPr>
                  <w:rFonts w:ascii="Cambria Math" w:eastAsia="Times New Roman" w:hAnsi="Cambria Math" w:cs="Calibri"/>
                  <w:color w:val="000000"/>
                </w:rPr>
                <m:t>∆E</m:t>
              </m:r>
            </m:oMath>
            <w:r w:rsidRPr="00B33637">
              <w:rPr>
                <w:rFonts w:ascii="Calibri" w:eastAsia="Times New Roman" w:hAnsi="Calibri" w:cs="Calibri"/>
                <w:color w:val="000000"/>
                <w:lang w:val="es-CL" w:eastAsia="es-CL"/>
              </w:rPr>
              <w:t xml:space="preserve"> </w:t>
            </w:r>
            <m:oMath>
              <m:sSub>
                <m:sSubPr>
                  <m:ctrlPr>
                    <w:rPr>
                      <w:rFonts w:ascii="Cambria Math" w:eastAsia="Times New Roman" w:hAnsi="Cambria Math" w:cs="Calibri"/>
                      <w:i/>
                      <w:color w:val="000000"/>
                      <w:lang w:val="es-CL" w:eastAsia="es-CL"/>
                    </w:rPr>
                  </m:ctrlPr>
                </m:sSubPr>
                <m:e>
                  <m:r>
                    <w:rPr>
                      <w:rFonts w:ascii="Cambria Math" w:eastAsia="Times New Roman" w:hAnsi="Cambria Math" w:cs="Calibri"/>
                      <w:color w:val="000000"/>
                      <w:lang w:val="es-CL" w:eastAsia="es-CL"/>
                    </w:rPr>
                    <m:t>L</m:t>
                  </m:r>
                </m:e>
                <m:sub>
                  <m:r>
                    <w:rPr>
                      <w:rFonts w:ascii="Cambria Math" w:eastAsia="Times New Roman" w:hAnsi="Cambria Math" w:cs="Calibri"/>
                      <w:color w:val="000000"/>
                      <w:lang w:val="es-CL" w:eastAsia="es-CL"/>
                    </w:rPr>
                    <m:t>1</m:t>
                  </m:r>
                </m:sub>
              </m:sSub>
            </m:oMath>
          </w:p>
        </w:tc>
        <w:tc>
          <w:tcPr>
            <w:tcW w:w="1417" w:type="dxa"/>
            <w:noWrap/>
            <w:hideMark/>
          </w:tcPr>
          <w:p w14:paraId="6993CFA1" w14:textId="77777777" w:rsidR="00AA4F32" w:rsidRPr="001D0CF3" w:rsidRDefault="00AA4F32" w:rsidP="00AA4F32">
            <w:pPr>
              <w:jc w:val="both"/>
              <w:rPr>
                <w:rFonts w:eastAsiaTheme="minorEastAsia"/>
                <w:sz w:val="24"/>
                <w:szCs w:val="24"/>
              </w:rPr>
            </w:pPr>
            <w:r w:rsidRPr="001D0CF3">
              <w:rPr>
                <w:rFonts w:eastAsiaTheme="minorEastAsia"/>
                <w:sz w:val="24"/>
                <w:szCs w:val="24"/>
              </w:rPr>
              <w:t>0.2670208</w:t>
            </w:r>
          </w:p>
        </w:tc>
        <w:tc>
          <w:tcPr>
            <w:tcW w:w="1276" w:type="dxa"/>
            <w:noWrap/>
            <w:hideMark/>
          </w:tcPr>
          <w:p w14:paraId="669142D4" w14:textId="77777777" w:rsidR="00AA4F32" w:rsidRPr="001D0CF3" w:rsidRDefault="00AA4F32" w:rsidP="00AA4F32">
            <w:pPr>
              <w:jc w:val="both"/>
              <w:rPr>
                <w:rFonts w:eastAsiaTheme="minorEastAsia"/>
                <w:sz w:val="24"/>
                <w:szCs w:val="24"/>
              </w:rPr>
            </w:pPr>
            <w:r w:rsidRPr="001D0CF3">
              <w:rPr>
                <w:rFonts w:eastAsiaTheme="minorEastAsia"/>
                <w:sz w:val="24"/>
                <w:szCs w:val="24"/>
              </w:rPr>
              <w:t>0.064315</w:t>
            </w:r>
          </w:p>
        </w:tc>
        <w:tc>
          <w:tcPr>
            <w:tcW w:w="850" w:type="dxa"/>
            <w:noWrap/>
            <w:hideMark/>
          </w:tcPr>
          <w:p w14:paraId="6DBDBC12" w14:textId="77777777" w:rsidR="00AA4F32" w:rsidRPr="001D0CF3" w:rsidRDefault="00AA4F32" w:rsidP="00AA4F32">
            <w:pPr>
              <w:jc w:val="both"/>
              <w:rPr>
                <w:rFonts w:eastAsiaTheme="minorEastAsia"/>
                <w:sz w:val="24"/>
                <w:szCs w:val="24"/>
              </w:rPr>
            </w:pPr>
            <w:r w:rsidRPr="001D0CF3">
              <w:rPr>
                <w:rFonts w:eastAsiaTheme="minorEastAsia"/>
                <w:sz w:val="24"/>
                <w:szCs w:val="24"/>
              </w:rPr>
              <w:t>4.15</w:t>
            </w:r>
          </w:p>
        </w:tc>
        <w:tc>
          <w:tcPr>
            <w:tcW w:w="993" w:type="dxa"/>
            <w:noWrap/>
            <w:hideMark/>
          </w:tcPr>
          <w:p w14:paraId="22E4DE73" w14:textId="77777777" w:rsidR="00AA4F32" w:rsidRPr="001D0CF3" w:rsidRDefault="00AA4F32" w:rsidP="00AA4F32">
            <w:pPr>
              <w:jc w:val="both"/>
              <w:rPr>
                <w:rFonts w:eastAsiaTheme="minorEastAsia"/>
                <w:sz w:val="24"/>
                <w:szCs w:val="24"/>
              </w:rPr>
            </w:pPr>
            <w:r w:rsidRPr="001D0CF3">
              <w:rPr>
                <w:rFonts w:eastAsiaTheme="minorEastAsia"/>
                <w:sz w:val="24"/>
                <w:szCs w:val="24"/>
              </w:rPr>
              <w:t>0</w:t>
            </w:r>
          </w:p>
        </w:tc>
        <w:tc>
          <w:tcPr>
            <w:tcW w:w="1559" w:type="dxa"/>
            <w:noWrap/>
            <w:hideMark/>
          </w:tcPr>
          <w:p w14:paraId="4136A86F" w14:textId="77777777" w:rsidR="00AA4F32" w:rsidRPr="001D0CF3" w:rsidRDefault="00AA4F32" w:rsidP="00AA4F32">
            <w:pPr>
              <w:jc w:val="both"/>
              <w:rPr>
                <w:rFonts w:eastAsiaTheme="minorEastAsia"/>
                <w:sz w:val="24"/>
                <w:szCs w:val="24"/>
              </w:rPr>
            </w:pPr>
            <w:r w:rsidRPr="001D0CF3">
              <w:rPr>
                <w:rFonts w:eastAsiaTheme="minorEastAsia"/>
                <w:sz w:val="24"/>
                <w:szCs w:val="24"/>
              </w:rPr>
              <w:t>0.161233</w:t>
            </w:r>
          </w:p>
        </w:tc>
        <w:tc>
          <w:tcPr>
            <w:tcW w:w="1614" w:type="dxa"/>
            <w:noWrap/>
            <w:hideMark/>
          </w:tcPr>
          <w:p w14:paraId="68E88F2D" w14:textId="77777777" w:rsidR="00AA4F32" w:rsidRPr="001D0CF3" w:rsidRDefault="00AA4F32" w:rsidP="00AA4F32">
            <w:pPr>
              <w:jc w:val="both"/>
              <w:rPr>
                <w:rFonts w:eastAsiaTheme="minorEastAsia"/>
                <w:sz w:val="24"/>
                <w:szCs w:val="24"/>
              </w:rPr>
            </w:pPr>
            <w:r w:rsidRPr="001D0CF3">
              <w:rPr>
                <w:rFonts w:eastAsiaTheme="minorEastAsia"/>
                <w:sz w:val="24"/>
                <w:szCs w:val="24"/>
              </w:rPr>
              <w:t>0.372809</w:t>
            </w:r>
          </w:p>
        </w:tc>
      </w:tr>
      <w:tr w:rsidR="00F83487" w:rsidRPr="001D0CF3" w14:paraId="34A43712" w14:textId="77777777" w:rsidTr="00F83487">
        <w:trPr>
          <w:trHeight w:val="287"/>
        </w:trPr>
        <w:tc>
          <w:tcPr>
            <w:tcW w:w="1555" w:type="dxa"/>
            <w:noWrap/>
            <w:vAlign w:val="bottom"/>
            <w:hideMark/>
          </w:tcPr>
          <w:p w14:paraId="1DBC21C8" w14:textId="4DE624BA" w:rsidR="00AA4F32" w:rsidRPr="001D0CF3" w:rsidRDefault="00AA4F32" w:rsidP="00AA4F32">
            <w:pPr>
              <w:rPr>
                <w:rFonts w:eastAsiaTheme="minorEastAsia"/>
                <w:sz w:val="24"/>
                <w:szCs w:val="24"/>
              </w:rPr>
            </w:pPr>
            <w:r w:rsidRPr="00B33637">
              <w:rPr>
                <w:rFonts w:ascii="Calibri" w:eastAsia="Times New Roman" w:hAnsi="Calibri" w:cs="Calibri"/>
                <w:color w:val="000000"/>
                <w:lang w:val="es-CL" w:eastAsia="es-CL"/>
              </w:rPr>
              <w:t>Chile</w:t>
            </w:r>
            <w:r>
              <w:rPr>
                <w:rFonts w:ascii="Calibri" w:eastAsia="Times New Roman" w:hAnsi="Calibri" w:cs="Calibri"/>
                <w:color w:val="000000"/>
                <w:lang w:val="es-CL" w:eastAsia="es-CL"/>
              </w:rPr>
              <w:t xml:space="preserve"> </w:t>
            </w:r>
            <w:r w:rsidRPr="00B33637">
              <w:rPr>
                <w:rFonts w:ascii="Calibri" w:eastAsia="Times New Roman" w:hAnsi="Calibri" w:cs="Calibri"/>
                <w:color w:val="000000"/>
                <w:lang w:val="es-CL" w:eastAsia="es-CL"/>
              </w:rPr>
              <w:t xml:space="preserve">Inf. </w:t>
            </w:r>
            <m:oMath>
              <m:sSub>
                <m:sSubPr>
                  <m:ctrlPr>
                    <w:rPr>
                      <w:rFonts w:ascii="Cambria Math" w:eastAsia="Times New Roman" w:hAnsi="Cambria Math" w:cs="Calibri"/>
                      <w:i/>
                      <w:color w:val="000000"/>
                      <w:lang w:val="es-CL" w:eastAsia="es-CL"/>
                    </w:rPr>
                  </m:ctrlPr>
                </m:sSubPr>
                <m:e>
                  <m:r>
                    <w:rPr>
                      <w:rFonts w:ascii="Cambria Math" w:eastAsia="Times New Roman" w:hAnsi="Cambria Math" w:cs="Calibri"/>
                      <w:color w:val="000000"/>
                      <w:lang w:val="es-CL" w:eastAsia="es-CL"/>
                    </w:rPr>
                    <m:t>L</m:t>
                  </m:r>
                </m:e>
                <m:sub>
                  <m:r>
                    <w:rPr>
                      <w:rFonts w:ascii="Cambria Math" w:eastAsia="Times New Roman" w:hAnsi="Cambria Math" w:cs="Calibri"/>
                      <w:color w:val="000000"/>
                      <w:lang w:val="es-CL" w:eastAsia="es-CL"/>
                    </w:rPr>
                    <m:t>1</m:t>
                  </m:r>
                </m:sub>
              </m:sSub>
            </m:oMath>
          </w:p>
        </w:tc>
        <w:tc>
          <w:tcPr>
            <w:tcW w:w="1417" w:type="dxa"/>
            <w:noWrap/>
            <w:hideMark/>
          </w:tcPr>
          <w:p w14:paraId="5568AE3A" w14:textId="77777777" w:rsidR="00AA4F32" w:rsidRPr="001D0CF3" w:rsidRDefault="00AA4F32" w:rsidP="00AA4F32">
            <w:pPr>
              <w:jc w:val="both"/>
              <w:rPr>
                <w:rFonts w:eastAsiaTheme="minorEastAsia"/>
                <w:sz w:val="24"/>
                <w:szCs w:val="24"/>
              </w:rPr>
            </w:pPr>
            <w:r w:rsidRPr="001D0CF3">
              <w:rPr>
                <w:rFonts w:eastAsiaTheme="minorEastAsia"/>
                <w:sz w:val="24"/>
                <w:szCs w:val="24"/>
              </w:rPr>
              <w:t>0.37395</w:t>
            </w:r>
          </w:p>
        </w:tc>
        <w:tc>
          <w:tcPr>
            <w:tcW w:w="1276" w:type="dxa"/>
            <w:noWrap/>
            <w:hideMark/>
          </w:tcPr>
          <w:p w14:paraId="2BF0C63B" w14:textId="77777777" w:rsidR="00AA4F32" w:rsidRPr="001D0CF3" w:rsidRDefault="00AA4F32" w:rsidP="00AA4F32">
            <w:pPr>
              <w:jc w:val="both"/>
              <w:rPr>
                <w:rFonts w:eastAsiaTheme="minorEastAsia"/>
                <w:sz w:val="24"/>
                <w:szCs w:val="24"/>
              </w:rPr>
            </w:pPr>
            <w:r w:rsidRPr="001D0CF3">
              <w:rPr>
                <w:rFonts w:eastAsiaTheme="minorEastAsia"/>
                <w:sz w:val="24"/>
                <w:szCs w:val="24"/>
              </w:rPr>
              <w:t>0.44234</w:t>
            </w:r>
          </w:p>
        </w:tc>
        <w:tc>
          <w:tcPr>
            <w:tcW w:w="850" w:type="dxa"/>
            <w:noWrap/>
            <w:hideMark/>
          </w:tcPr>
          <w:p w14:paraId="4EF19322" w14:textId="77777777" w:rsidR="00AA4F32" w:rsidRPr="001D0CF3" w:rsidRDefault="00AA4F32" w:rsidP="00AA4F32">
            <w:pPr>
              <w:jc w:val="both"/>
              <w:rPr>
                <w:rFonts w:eastAsiaTheme="minorEastAsia"/>
                <w:sz w:val="24"/>
                <w:szCs w:val="24"/>
              </w:rPr>
            </w:pPr>
            <w:r w:rsidRPr="001D0CF3">
              <w:rPr>
                <w:rFonts w:eastAsiaTheme="minorEastAsia"/>
                <w:sz w:val="24"/>
                <w:szCs w:val="24"/>
              </w:rPr>
              <w:t>0.85</w:t>
            </w:r>
          </w:p>
        </w:tc>
        <w:tc>
          <w:tcPr>
            <w:tcW w:w="993" w:type="dxa"/>
            <w:noWrap/>
            <w:hideMark/>
          </w:tcPr>
          <w:p w14:paraId="24A6670E" w14:textId="77777777" w:rsidR="00AA4F32" w:rsidRPr="001D0CF3" w:rsidRDefault="00AA4F32" w:rsidP="00AA4F32">
            <w:pPr>
              <w:jc w:val="both"/>
              <w:rPr>
                <w:rFonts w:eastAsiaTheme="minorEastAsia"/>
                <w:sz w:val="24"/>
                <w:szCs w:val="24"/>
              </w:rPr>
            </w:pPr>
            <w:r w:rsidRPr="001D0CF3">
              <w:rPr>
                <w:rFonts w:eastAsiaTheme="minorEastAsia"/>
                <w:sz w:val="24"/>
                <w:szCs w:val="24"/>
              </w:rPr>
              <w:t>0.398</w:t>
            </w:r>
          </w:p>
        </w:tc>
        <w:tc>
          <w:tcPr>
            <w:tcW w:w="1559" w:type="dxa"/>
            <w:noWrap/>
            <w:hideMark/>
          </w:tcPr>
          <w:p w14:paraId="1ECC468D" w14:textId="77777777" w:rsidR="00AA4F32" w:rsidRPr="001D0CF3" w:rsidRDefault="00AA4F32" w:rsidP="00AA4F32">
            <w:pPr>
              <w:jc w:val="both"/>
              <w:rPr>
                <w:rFonts w:eastAsiaTheme="minorEastAsia"/>
                <w:sz w:val="24"/>
                <w:szCs w:val="24"/>
              </w:rPr>
            </w:pPr>
            <w:r w:rsidRPr="001D0CF3">
              <w:rPr>
                <w:rFonts w:eastAsiaTheme="minorEastAsia"/>
                <w:sz w:val="24"/>
                <w:szCs w:val="24"/>
              </w:rPr>
              <w:t>-0.35363</w:t>
            </w:r>
          </w:p>
        </w:tc>
        <w:tc>
          <w:tcPr>
            <w:tcW w:w="1614" w:type="dxa"/>
            <w:noWrap/>
            <w:hideMark/>
          </w:tcPr>
          <w:p w14:paraId="1DBB471F" w14:textId="77777777" w:rsidR="00AA4F32" w:rsidRPr="001D0CF3" w:rsidRDefault="00AA4F32" w:rsidP="00AA4F32">
            <w:pPr>
              <w:jc w:val="both"/>
              <w:rPr>
                <w:rFonts w:eastAsiaTheme="minorEastAsia"/>
                <w:sz w:val="24"/>
                <w:szCs w:val="24"/>
              </w:rPr>
            </w:pPr>
            <w:r w:rsidRPr="001D0CF3">
              <w:rPr>
                <w:rFonts w:eastAsiaTheme="minorEastAsia"/>
                <w:sz w:val="24"/>
                <w:szCs w:val="24"/>
              </w:rPr>
              <w:t>1.101535</w:t>
            </w:r>
          </w:p>
        </w:tc>
      </w:tr>
      <w:tr w:rsidR="00F83487" w:rsidRPr="001D0CF3" w14:paraId="64C14E20" w14:textId="77777777" w:rsidTr="00F83487">
        <w:trPr>
          <w:trHeight w:val="287"/>
        </w:trPr>
        <w:tc>
          <w:tcPr>
            <w:tcW w:w="1555" w:type="dxa"/>
            <w:noWrap/>
            <w:vAlign w:val="bottom"/>
            <w:hideMark/>
          </w:tcPr>
          <w:p w14:paraId="1AE179F8" w14:textId="70A73DB4" w:rsidR="00AA4F32" w:rsidRPr="001D0CF3" w:rsidRDefault="00AA4F32" w:rsidP="00AA4F32">
            <w:pPr>
              <w:jc w:val="both"/>
              <w:rPr>
                <w:rFonts w:eastAsiaTheme="minorEastAsia"/>
                <w:sz w:val="24"/>
                <w:szCs w:val="24"/>
              </w:rPr>
            </w:pPr>
            <m:oMath>
              <m:r>
                <m:rPr>
                  <m:sty m:val="bi"/>
                </m:rPr>
                <w:rPr>
                  <w:rFonts w:ascii="Cambria Math" w:eastAsia="Times New Roman" w:hAnsi="Cambria Math" w:cs="Calibri"/>
                  <w:color w:val="000000"/>
                </w:rPr>
                <m:t>∆</m:t>
              </m:r>
            </m:oMath>
            <w:r w:rsidRPr="00B33637">
              <w:rPr>
                <w:rFonts w:ascii="Calibri" w:eastAsia="Times New Roman" w:hAnsi="Calibri" w:cs="Calibri"/>
                <w:color w:val="000000"/>
                <w:lang w:val="es-CL" w:eastAsia="es-CL"/>
              </w:rPr>
              <w:t>T</w:t>
            </w:r>
            <w:r>
              <w:rPr>
                <w:rFonts w:ascii="Calibri" w:eastAsia="Times New Roman" w:hAnsi="Calibri" w:cs="Calibri"/>
                <w:color w:val="000000"/>
                <w:lang w:val="es-CL" w:eastAsia="es-CL"/>
              </w:rPr>
              <w:t xml:space="preserve">PM </w:t>
            </w:r>
            <m:oMath>
              <m:sSub>
                <m:sSubPr>
                  <m:ctrlPr>
                    <w:rPr>
                      <w:rFonts w:ascii="Cambria Math" w:eastAsia="Times New Roman" w:hAnsi="Cambria Math" w:cs="Calibri"/>
                      <w:i/>
                      <w:color w:val="000000"/>
                      <w:lang w:val="es-CL" w:eastAsia="es-CL"/>
                    </w:rPr>
                  </m:ctrlPr>
                </m:sSubPr>
                <m:e>
                  <m:r>
                    <w:rPr>
                      <w:rFonts w:ascii="Cambria Math" w:eastAsia="Times New Roman" w:hAnsi="Cambria Math" w:cs="Calibri"/>
                      <w:color w:val="000000"/>
                      <w:lang w:val="es-CL" w:eastAsia="es-CL"/>
                    </w:rPr>
                    <m:t>L</m:t>
                  </m:r>
                </m:e>
                <m:sub>
                  <m:r>
                    <w:rPr>
                      <w:rFonts w:ascii="Cambria Math" w:eastAsia="Times New Roman" w:hAnsi="Cambria Math" w:cs="Calibri"/>
                      <w:color w:val="000000"/>
                      <w:lang w:val="es-CL" w:eastAsia="es-CL"/>
                    </w:rPr>
                    <m:t>1</m:t>
                  </m:r>
                </m:sub>
              </m:sSub>
            </m:oMath>
          </w:p>
        </w:tc>
        <w:tc>
          <w:tcPr>
            <w:tcW w:w="1417" w:type="dxa"/>
            <w:noWrap/>
            <w:hideMark/>
          </w:tcPr>
          <w:p w14:paraId="5710DD0F" w14:textId="77777777" w:rsidR="00AA4F32" w:rsidRPr="001D0CF3" w:rsidRDefault="00AA4F32" w:rsidP="00AA4F32">
            <w:pPr>
              <w:jc w:val="both"/>
              <w:rPr>
                <w:rFonts w:eastAsiaTheme="minorEastAsia"/>
                <w:sz w:val="24"/>
                <w:szCs w:val="24"/>
              </w:rPr>
            </w:pPr>
            <w:r w:rsidRPr="001D0CF3">
              <w:rPr>
                <w:rFonts w:eastAsiaTheme="minorEastAsia"/>
                <w:sz w:val="24"/>
                <w:szCs w:val="24"/>
              </w:rPr>
              <w:t>0.0093916</w:t>
            </w:r>
          </w:p>
        </w:tc>
        <w:tc>
          <w:tcPr>
            <w:tcW w:w="1276" w:type="dxa"/>
            <w:noWrap/>
            <w:hideMark/>
          </w:tcPr>
          <w:p w14:paraId="3CFD6A9B" w14:textId="77777777" w:rsidR="00AA4F32" w:rsidRPr="001D0CF3" w:rsidRDefault="00AA4F32" w:rsidP="00AA4F32">
            <w:pPr>
              <w:jc w:val="both"/>
              <w:rPr>
                <w:rFonts w:eastAsiaTheme="minorEastAsia"/>
                <w:sz w:val="24"/>
                <w:szCs w:val="24"/>
              </w:rPr>
            </w:pPr>
            <w:r w:rsidRPr="001D0CF3">
              <w:rPr>
                <w:rFonts w:eastAsiaTheme="minorEastAsia"/>
                <w:sz w:val="24"/>
                <w:szCs w:val="24"/>
              </w:rPr>
              <w:t>0.012409</w:t>
            </w:r>
          </w:p>
        </w:tc>
        <w:tc>
          <w:tcPr>
            <w:tcW w:w="850" w:type="dxa"/>
            <w:noWrap/>
            <w:hideMark/>
          </w:tcPr>
          <w:p w14:paraId="60EF9433" w14:textId="77777777" w:rsidR="00AA4F32" w:rsidRPr="001D0CF3" w:rsidRDefault="00AA4F32" w:rsidP="00AA4F32">
            <w:pPr>
              <w:jc w:val="both"/>
              <w:rPr>
                <w:rFonts w:eastAsiaTheme="minorEastAsia"/>
                <w:sz w:val="24"/>
                <w:szCs w:val="24"/>
              </w:rPr>
            </w:pPr>
            <w:r w:rsidRPr="001D0CF3">
              <w:rPr>
                <w:rFonts w:eastAsiaTheme="minorEastAsia"/>
                <w:sz w:val="24"/>
                <w:szCs w:val="24"/>
              </w:rPr>
              <w:t>0.76</w:t>
            </w:r>
          </w:p>
        </w:tc>
        <w:tc>
          <w:tcPr>
            <w:tcW w:w="993" w:type="dxa"/>
            <w:noWrap/>
            <w:hideMark/>
          </w:tcPr>
          <w:p w14:paraId="621544D6" w14:textId="77777777" w:rsidR="00AA4F32" w:rsidRPr="001D0CF3" w:rsidRDefault="00AA4F32" w:rsidP="00AA4F32">
            <w:pPr>
              <w:jc w:val="both"/>
              <w:rPr>
                <w:rFonts w:eastAsiaTheme="minorEastAsia"/>
                <w:sz w:val="24"/>
                <w:szCs w:val="24"/>
              </w:rPr>
            </w:pPr>
            <w:r w:rsidRPr="001D0CF3">
              <w:rPr>
                <w:rFonts w:eastAsiaTheme="minorEastAsia"/>
                <w:sz w:val="24"/>
                <w:szCs w:val="24"/>
              </w:rPr>
              <w:t>0.449</w:t>
            </w:r>
          </w:p>
        </w:tc>
        <w:tc>
          <w:tcPr>
            <w:tcW w:w="1559" w:type="dxa"/>
            <w:noWrap/>
            <w:hideMark/>
          </w:tcPr>
          <w:p w14:paraId="64FEBD8D" w14:textId="77777777" w:rsidR="00AA4F32" w:rsidRPr="001D0CF3" w:rsidRDefault="00AA4F32" w:rsidP="00AA4F32">
            <w:pPr>
              <w:jc w:val="both"/>
              <w:rPr>
                <w:rFonts w:eastAsiaTheme="minorEastAsia"/>
                <w:sz w:val="24"/>
                <w:szCs w:val="24"/>
              </w:rPr>
            </w:pPr>
            <w:r w:rsidRPr="001D0CF3">
              <w:rPr>
                <w:rFonts w:eastAsiaTheme="minorEastAsia"/>
                <w:sz w:val="24"/>
                <w:szCs w:val="24"/>
              </w:rPr>
              <w:t>-0.01102</w:t>
            </w:r>
          </w:p>
        </w:tc>
        <w:tc>
          <w:tcPr>
            <w:tcW w:w="1614" w:type="dxa"/>
            <w:noWrap/>
            <w:hideMark/>
          </w:tcPr>
          <w:p w14:paraId="1BBAB513" w14:textId="77777777" w:rsidR="00AA4F32" w:rsidRPr="001D0CF3" w:rsidRDefault="00AA4F32" w:rsidP="00AA4F32">
            <w:pPr>
              <w:jc w:val="both"/>
              <w:rPr>
                <w:rFonts w:eastAsiaTheme="minorEastAsia"/>
                <w:sz w:val="24"/>
                <w:szCs w:val="24"/>
              </w:rPr>
            </w:pPr>
            <w:r w:rsidRPr="001D0CF3">
              <w:rPr>
                <w:rFonts w:eastAsiaTheme="minorEastAsia"/>
                <w:sz w:val="24"/>
                <w:szCs w:val="24"/>
              </w:rPr>
              <w:t>0.029803</w:t>
            </w:r>
          </w:p>
        </w:tc>
      </w:tr>
      <w:tr w:rsidR="00F83487" w:rsidRPr="001D0CF3" w14:paraId="7E404067" w14:textId="77777777" w:rsidTr="00F83487">
        <w:trPr>
          <w:trHeight w:val="287"/>
        </w:trPr>
        <w:tc>
          <w:tcPr>
            <w:tcW w:w="1555" w:type="dxa"/>
            <w:noWrap/>
            <w:hideMark/>
          </w:tcPr>
          <w:p w14:paraId="66DF129D" w14:textId="5C641322" w:rsidR="001D0CF3" w:rsidRPr="001D0CF3" w:rsidRDefault="001D0CF3" w:rsidP="001D0CF3">
            <w:pPr>
              <w:jc w:val="both"/>
              <w:rPr>
                <w:rFonts w:eastAsiaTheme="minorEastAsia"/>
                <w:sz w:val="24"/>
                <w:szCs w:val="24"/>
              </w:rPr>
            </w:pPr>
            <w:r w:rsidRPr="001D0CF3">
              <w:rPr>
                <w:rFonts w:eastAsiaTheme="minorEastAsia"/>
                <w:sz w:val="24"/>
                <w:szCs w:val="24"/>
              </w:rPr>
              <w:t>US</w:t>
            </w:r>
            <w:r w:rsidR="00AA4F32">
              <w:rPr>
                <w:rFonts w:eastAsiaTheme="minorEastAsia"/>
                <w:sz w:val="24"/>
                <w:szCs w:val="24"/>
              </w:rPr>
              <w:t xml:space="preserve"> Inf.</w:t>
            </w:r>
          </w:p>
        </w:tc>
        <w:tc>
          <w:tcPr>
            <w:tcW w:w="1417" w:type="dxa"/>
            <w:noWrap/>
            <w:hideMark/>
          </w:tcPr>
          <w:p w14:paraId="16DA0DF2" w14:textId="77777777" w:rsidR="001D0CF3" w:rsidRPr="001D0CF3" w:rsidRDefault="001D0CF3" w:rsidP="001D0CF3">
            <w:pPr>
              <w:jc w:val="both"/>
              <w:rPr>
                <w:rFonts w:eastAsiaTheme="minorEastAsia"/>
                <w:sz w:val="24"/>
                <w:szCs w:val="24"/>
              </w:rPr>
            </w:pPr>
            <w:r w:rsidRPr="001D0CF3">
              <w:rPr>
                <w:rFonts w:eastAsiaTheme="minorEastAsia"/>
                <w:sz w:val="24"/>
                <w:szCs w:val="24"/>
              </w:rPr>
              <w:t>-0.6543436</w:t>
            </w:r>
          </w:p>
        </w:tc>
        <w:tc>
          <w:tcPr>
            <w:tcW w:w="1276" w:type="dxa"/>
            <w:noWrap/>
            <w:hideMark/>
          </w:tcPr>
          <w:p w14:paraId="4655A886" w14:textId="77777777" w:rsidR="001D0CF3" w:rsidRPr="001D0CF3" w:rsidRDefault="001D0CF3" w:rsidP="001D0CF3">
            <w:pPr>
              <w:jc w:val="both"/>
              <w:rPr>
                <w:rFonts w:eastAsiaTheme="minorEastAsia"/>
                <w:sz w:val="24"/>
                <w:szCs w:val="24"/>
              </w:rPr>
            </w:pPr>
            <w:r w:rsidRPr="001D0CF3">
              <w:rPr>
                <w:rFonts w:eastAsiaTheme="minorEastAsia"/>
                <w:sz w:val="24"/>
                <w:szCs w:val="24"/>
              </w:rPr>
              <w:t>0.454322</w:t>
            </w:r>
          </w:p>
        </w:tc>
        <w:tc>
          <w:tcPr>
            <w:tcW w:w="850" w:type="dxa"/>
            <w:noWrap/>
            <w:hideMark/>
          </w:tcPr>
          <w:p w14:paraId="5F2EEB94" w14:textId="77777777" w:rsidR="001D0CF3" w:rsidRPr="001D0CF3" w:rsidRDefault="001D0CF3" w:rsidP="001D0CF3">
            <w:pPr>
              <w:jc w:val="both"/>
              <w:rPr>
                <w:rFonts w:eastAsiaTheme="minorEastAsia"/>
                <w:sz w:val="24"/>
                <w:szCs w:val="24"/>
              </w:rPr>
            </w:pPr>
            <w:r w:rsidRPr="001D0CF3">
              <w:rPr>
                <w:rFonts w:eastAsiaTheme="minorEastAsia"/>
                <w:sz w:val="24"/>
                <w:szCs w:val="24"/>
              </w:rPr>
              <w:t>-1.44</w:t>
            </w:r>
          </w:p>
        </w:tc>
        <w:tc>
          <w:tcPr>
            <w:tcW w:w="993" w:type="dxa"/>
            <w:noWrap/>
            <w:hideMark/>
          </w:tcPr>
          <w:p w14:paraId="261070DF" w14:textId="77777777" w:rsidR="001D0CF3" w:rsidRPr="001D0CF3" w:rsidRDefault="001D0CF3" w:rsidP="001D0CF3">
            <w:pPr>
              <w:jc w:val="both"/>
              <w:rPr>
                <w:rFonts w:eastAsiaTheme="minorEastAsia"/>
                <w:sz w:val="24"/>
                <w:szCs w:val="24"/>
              </w:rPr>
            </w:pPr>
            <w:r w:rsidRPr="001D0CF3">
              <w:rPr>
                <w:rFonts w:eastAsiaTheme="minorEastAsia"/>
                <w:sz w:val="24"/>
                <w:szCs w:val="24"/>
              </w:rPr>
              <w:t>0.15</w:t>
            </w:r>
          </w:p>
        </w:tc>
        <w:tc>
          <w:tcPr>
            <w:tcW w:w="1559" w:type="dxa"/>
            <w:noWrap/>
            <w:hideMark/>
          </w:tcPr>
          <w:p w14:paraId="5FC6E843" w14:textId="77777777" w:rsidR="001D0CF3" w:rsidRPr="001D0CF3" w:rsidRDefault="001D0CF3" w:rsidP="001D0CF3">
            <w:pPr>
              <w:jc w:val="both"/>
              <w:rPr>
                <w:rFonts w:eastAsiaTheme="minorEastAsia"/>
                <w:sz w:val="24"/>
                <w:szCs w:val="24"/>
              </w:rPr>
            </w:pPr>
            <w:r w:rsidRPr="001D0CF3">
              <w:rPr>
                <w:rFonts w:eastAsiaTheme="minorEastAsia"/>
                <w:sz w:val="24"/>
                <w:szCs w:val="24"/>
              </w:rPr>
              <w:t>-1.40164</w:t>
            </w:r>
          </w:p>
        </w:tc>
        <w:tc>
          <w:tcPr>
            <w:tcW w:w="1614" w:type="dxa"/>
            <w:noWrap/>
            <w:hideMark/>
          </w:tcPr>
          <w:p w14:paraId="6CC93697" w14:textId="77777777" w:rsidR="001D0CF3" w:rsidRPr="001D0CF3" w:rsidRDefault="001D0CF3" w:rsidP="001D0CF3">
            <w:pPr>
              <w:jc w:val="both"/>
              <w:rPr>
                <w:rFonts w:eastAsiaTheme="minorEastAsia"/>
                <w:sz w:val="24"/>
                <w:szCs w:val="24"/>
              </w:rPr>
            </w:pPr>
            <w:r w:rsidRPr="001D0CF3">
              <w:rPr>
                <w:rFonts w:eastAsiaTheme="minorEastAsia"/>
                <w:sz w:val="24"/>
                <w:szCs w:val="24"/>
              </w:rPr>
              <w:t>0.092949</w:t>
            </w:r>
          </w:p>
        </w:tc>
      </w:tr>
      <w:tr w:rsidR="00F83487" w:rsidRPr="001D0CF3" w14:paraId="3D0DC7F3" w14:textId="77777777" w:rsidTr="00F83487">
        <w:trPr>
          <w:trHeight w:val="287"/>
        </w:trPr>
        <w:tc>
          <w:tcPr>
            <w:tcW w:w="1555" w:type="dxa"/>
            <w:noWrap/>
            <w:hideMark/>
          </w:tcPr>
          <w:p w14:paraId="01F3B1DF" w14:textId="28122EC7" w:rsidR="001D0CF3" w:rsidRPr="001D0CF3" w:rsidRDefault="001D0CF3" w:rsidP="001D0CF3">
            <w:pPr>
              <w:jc w:val="both"/>
              <w:rPr>
                <w:rFonts w:eastAsiaTheme="minorEastAsia"/>
                <w:sz w:val="24"/>
                <w:szCs w:val="24"/>
              </w:rPr>
            </w:pPr>
            <w:r w:rsidRPr="001D0CF3">
              <w:rPr>
                <w:rFonts w:eastAsiaTheme="minorEastAsia"/>
                <w:sz w:val="24"/>
                <w:szCs w:val="24"/>
              </w:rPr>
              <w:t>China</w:t>
            </w:r>
            <w:r w:rsidR="00AA4F32">
              <w:rPr>
                <w:rFonts w:eastAsiaTheme="minorEastAsia"/>
                <w:sz w:val="24"/>
                <w:szCs w:val="24"/>
              </w:rPr>
              <w:t xml:space="preserve"> Inf.</w:t>
            </w:r>
          </w:p>
        </w:tc>
        <w:tc>
          <w:tcPr>
            <w:tcW w:w="1417" w:type="dxa"/>
            <w:noWrap/>
            <w:hideMark/>
          </w:tcPr>
          <w:p w14:paraId="7CFB74A0" w14:textId="77777777" w:rsidR="001D0CF3" w:rsidRPr="001D0CF3" w:rsidRDefault="001D0CF3" w:rsidP="001D0CF3">
            <w:pPr>
              <w:jc w:val="both"/>
              <w:rPr>
                <w:rFonts w:eastAsiaTheme="minorEastAsia"/>
                <w:sz w:val="24"/>
                <w:szCs w:val="24"/>
              </w:rPr>
            </w:pPr>
            <w:r w:rsidRPr="001D0CF3">
              <w:rPr>
                <w:rFonts w:eastAsiaTheme="minorEastAsia"/>
                <w:sz w:val="24"/>
                <w:szCs w:val="24"/>
              </w:rPr>
              <w:t>-0.3334025</w:t>
            </w:r>
          </w:p>
        </w:tc>
        <w:tc>
          <w:tcPr>
            <w:tcW w:w="1276" w:type="dxa"/>
            <w:noWrap/>
            <w:hideMark/>
          </w:tcPr>
          <w:p w14:paraId="55B61C4E" w14:textId="77777777" w:rsidR="001D0CF3" w:rsidRPr="001D0CF3" w:rsidRDefault="001D0CF3" w:rsidP="001D0CF3">
            <w:pPr>
              <w:jc w:val="both"/>
              <w:rPr>
                <w:rFonts w:eastAsiaTheme="minorEastAsia"/>
                <w:sz w:val="24"/>
                <w:szCs w:val="24"/>
              </w:rPr>
            </w:pPr>
            <w:r w:rsidRPr="001D0CF3">
              <w:rPr>
                <w:rFonts w:eastAsiaTheme="minorEastAsia"/>
                <w:sz w:val="24"/>
                <w:szCs w:val="24"/>
              </w:rPr>
              <w:t>0.264478</w:t>
            </w:r>
          </w:p>
        </w:tc>
        <w:tc>
          <w:tcPr>
            <w:tcW w:w="850" w:type="dxa"/>
            <w:noWrap/>
            <w:hideMark/>
          </w:tcPr>
          <w:p w14:paraId="4668C8C2" w14:textId="77777777" w:rsidR="001D0CF3" w:rsidRPr="001D0CF3" w:rsidRDefault="001D0CF3" w:rsidP="001D0CF3">
            <w:pPr>
              <w:jc w:val="both"/>
              <w:rPr>
                <w:rFonts w:eastAsiaTheme="minorEastAsia"/>
                <w:sz w:val="24"/>
                <w:szCs w:val="24"/>
              </w:rPr>
            </w:pPr>
            <w:r w:rsidRPr="001D0CF3">
              <w:rPr>
                <w:rFonts w:eastAsiaTheme="minorEastAsia"/>
                <w:sz w:val="24"/>
                <w:szCs w:val="24"/>
              </w:rPr>
              <w:t>-1.26</w:t>
            </w:r>
          </w:p>
        </w:tc>
        <w:tc>
          <w:tcPr>
            <w:tcW w:w="993" w:type="dxa"/>
            <w:noWrap/>
            <w:hideMark/>
          </w:tcPr>
          <w:p w14:paraId="3CEA8DF2" w14:textId="77777777" w:rsidR="001D0CF3" w:rsidRPr="001D0CF3" w:rsidRDefault="001D0CF3" w:rsidP="001D0CF3">
            <w:pPr>
              <w:jc w:val="both"/>
              <w:rPr>
                <w:rFonts w:eastAsiaTheme="minorEastAsia"/>
                <w:sz w:val="24"/>
                <w:szCs w:val="24"/>
              </w:rPr>
            </w:pPr>
            <w:r w:rsidRPr="001D0CF3">
              <w:rPr>
                <w:rFonts w:eastAsiaTheme="minorEastAsia"/>
                <w:sz w:val="24"/>
                <w:szCs w:val="24"/>
              </w:rPr>
              <w:t>0.207</w:t>
            </w:r>
          </w:p>
        </w:tc>
        <w:tc>
          <w:tcPr>
            <w:tcW w:w="1559" w:type="dxa"/>
            <w:noWrap/>
            <w:hideMark/>
          </w:tcPr>
          <w:p w14:paraId="0D546418" w14:textId="77777777" w:rsidR="001D0CF3" w:rsidRPr="001D0CF3" w:rsidRDefault="001D0CF3" w:rsidP="001D0CF3">
            <w:pPr>
              <w:jc w:val="both"/>
              <w:rPr>
                <w:rFonts w:eastAsiaTheme="minorEastAsia"/>
                <w:sz w:val="24"/>
                <w:szCs w:val="24"/>
              </w:rPr>
            </w:pPr>
            <w:r w:rsidRPr="001D0CF3">
              <w:rPr>
                <w:rFonts w:eastAsiaTheme="minorEastAsia"/>
                <w:sz w:val="24"/>
                <w:szCs w:val="24"/>
              </w:rPr>
              <w:t>-0.76843</w:t>
            </w:r>
          </w:p>
        </w:tc>
        <w:tc>
          <w:tcPr>
            <w:tcW w:w="1614" w:type="dxa"/>
            <w:noWrap/>
            <w:hideMark/>
          </w:tcPr>
          <w:p w14:paraId="7990A4C3" w14:textId="77777777" w:rsidR="001D0CF3" w:rsidRPr="001D0CF3" w:rsidRDefault="001D0CF3" w:rsidP="001D0CF3">
            <w:pPr>
              <w:jc w:val="both"/>
              <w:rPr>
                <w:rFonts w:eastAsiaTheme="minorEastAsia"/>
                <w:sz w:val="24"/>
                <w:szCs w:val="24"/>
              </w:rPr>
            </w:pPr>
            <w:r w:rsidRPr="001D0CF3">
              <w:rPr>
                <w:rFonts w:eastAsiaTheme="minorEastAsia"/>
                <w:sz w:val="24"/>
                <w:szCs w:val="24"/>
              </w:rPr>
              <w:t>0.101625</w:t>
            </w:r>
          </w:p>
        </w:tc>
      </w:tr>
      <w:tr w:rsidR="00F83487" w:rsidRPr="001D0CF3" w14:paraId="5738ECC6" w14:textId="77777777" w:rsidTr="00F83487">
        <w:trPr>
          <w:trHeight w:val="287"/>
        </w:trPr>
        <w:tc>
          <w:tcPr>
            <w:tcW w:w="1555" w:type="dxa"/>
            <w:noWrap/>
            <w:hideMark/>
          </w:tcPr>
          <w:p w14:paraId="54BC7989" w14:textId="14AA2D29" w:rsidR="001D0CF3" w:rsidRPr="001D0CF3" w:rsidRDefault="001D0CF3" w:rsidP="001D0CF3">
            <w:pPr>
              <w:jc w:val="both"/>
              <w:rPr>
                <w:rFonts w:eastAsiaTheme="minorEastAsia"/>
                <w:sz w:val="24"/>
                <w:szCs w:val="24"/>
              </w:rPr>
            </w:pPr>
            <w:r w:rsidRPr="001D0CF3">
              <w:rPr>
                <w:rFonts w:eastAsiaTheme="minorEastAsia"/>
                <w:sz w:val="24"/>
                <w:szCs w:val="24"/>
              </w:rPr>
              <w:t>Eurozon</w:t>
            </w:r>
            <w:r w:rsidR="00AA4F32">
              <w:rPr>
                <w:rFonts w:eastAsiaTheme="minorEastAsia"/>
                <w:sz w:val="24"/>
                <w:szCs w:val="24"/>
              </w:rPr>
              <w:t>e Inf.</w:t>
            </w:r>
          </w:p>
        </w:tc>
        <w:tc>
          <w:tcPr>
            <w:tcW w:w="1417" w:type="dxa"/>
            <w:noWrap/>
            <w:hideMark/>
          </w:tcPr>
          <w:p w14:paraId="5D8F68D1" w14:textId="77777777" w:rsidR="001D0CF3" w:rsidRPr="001D0CF3" w:rsidRDefault="001D0CF3" w:rsidP="001D0CF3">
            <w:pPr>
              <w:jc w:val="both"/>
              <w:rPr>
                <w:rFonts w:eastAsiaTheme="minorEastAsia"/>
                <w:sz w:val="24"/>
                <w:szCs w:val="24"/>
              </w:rPr>
            </w:pPr>
            <w:r w:rsidRPr="001D0CF3">
              <w:rPr>
                <w:rFonts w:eastAsiaTheme="minorEastAsia"/>
                <w:sz w:val="24"/>
                <w:szCs w:val="24"/>
              </w:rPr>
              <w:t>0.1397398</w:t>
            </w:r>
          </w:p>
        </w:tc>
        <w:tc>
          <w:tcPr>
            <w:tcW w:w="1276" w:type="dxa"/>
            <w:noWrap/>
            <w:hideMark/>
          </w:tcPr>
          <w:p w14:paraId="61B4F0EA" w14:textId="77777777" w:rsidR="001D0CF3" w:rsidRPr="001D0CF3" w:rsidRDefault="001D0CF3" w:rsidP="001D0CF3">
            <w:pPr>
              <w:jc w:val="both"/>
              <w:rPr>
                <w:rFonts w:eastAsiaTheme="minorEastAsia"/>
                <w:sz w:val="24"/>
                <w:szCs w:val="24"/>
              </w:rPr>
            </w:pPr>
            <w:r w:rsidRPr="001D0CF3">
              <w:rPr>
                <w:rFonts w:eastAsiaTheme="minorEastAsia"/>
                <w:sz w:val="24"/>
                <w:szCs w:val="24"/>
              </w:rPr>
              <w:t>0.393051</w:t>
            </w:r>
          </w:p>
        </w:tc>
        <w:tc>
          <w:tcPr>
            <w:tcW w:w="850" w:type="dxa"/>
            <w:noWrap/>
            <w:hideMark/>
          </w:tcPr>
          <w:p w14:paraId="758B3CC9" w14:textId="77777777" w:rsidR="001D0CF3" w:rsidRPr="001D0CF3" w:rsidRDefault="001D0CF3" w:rsidP="001D0CF3">
            <w:pPr>
              <w:jc w:val="both"/>
              <w:rPr>
                <w:rFonts w:eastAsiaTheme="minorEastAsia"/>
                <w:sz w:val="24"/>
                <w:szCs w:val="24"/>
              </w:rPr>
            </w:pPr>
            <w:r w:rsidRPr="001D0CF3">
              <w:rPr>
                <w:rFonts w:eastAsiaTheme="minorEastAsia"/>
                <w:sz w:val="24"/>
                <w:szCs w:val="24"/>
              </w:rPr>
              <w:t>0.36</w:t>
            </w:r>
          </w:p>
        </w:tc>
        <w:tc>
          <w:tcPr>
            <w:tcW w:w="993" w:type="dxa"/>
            <w:noWrap/>
            <w:hideMark/>
          </w:tcPr>
          <w:p w14:paraId="79A7EDEB" w14:textId="77777777" w:rsidR="001D0CF3" w:rsidRPr="001D0CF3" w:rsidRDefault="001D0CF3" w:rsidP="001D0CF3">
            <w:pPr>
              <w:jc w:val="both"/>
              <w:rPr>
                <w:rFonts w:eastAsiaTheme="minorEastAsia"/>
                <w:sz w:val="24"/>
                <w:szCs w:val="24"/>
              </w:rPr>
            </w:pPr>
            <w:r w:rsidRPr="001D0CF3">
              <w:rPr>
                <w:rFonts w:eastAsiaTheme="minorEastAsia"/>
                <w:sz w:val="24"/>
                <w:szCs w:val="24"/>
              </w:rPr>
              <w:t>0.722</w:t>
            </w:r>
          </w:p>
        </w:tc>
        <w:tc>
          <w:tcPr>
            <w:tcW w:w="1559" w:type="dxa"/>
            <w:noWrap/>
            <w:hideMark/>
          </w:tcPr>
          <w:p w14:paraId="3A5F36CC" w14:textId="77777777" w:rsidR="001D0CF3" w:rsidRPr="001D0CF3" w:rsidRDefault="001D0CF3" w:rsidP="001D0CF3">
            <w:pPr>
              <w:jc w:val="both"/>
              <w:rPr>
                <w:rFonts w:eastAsiaTheme="minorEastAsia"/>
                <w:sz w:val="24"/>
                <w:szCs w:val="24"/>
              </w:rPr>
            </w:pPr>
            <w:r w:rsidRPr="001D0CF3">
              <w:rPr>
                <w:rFonts w:eastAsiaTheme="minorEastAsia"/>
                <w:sz w:val="24"/>
                <w:szCs w:val="24"/>
              </w:rPr>
              <w:t>-0.50677</w:t>
            </w:r>
          </w:p>
        </w:tc>
        <w:tc>
          <w:tcPr>
            <w:tcW w:w="1614" w:type="dxa"/>
            <w:noWrap/>
            <w:hideMark/>
          </w:tcPr>
          <w:p w14:paraId="71C615A2" w14:textId="77777777" w:rsidR="001D0CF3" w:rsidRPr="001D0CF3" w:rsidRDefault="001D0CF3" w:rsidP="001D0CF3">
            <w:pPr>
              <w:jc w:val="both"/>
              <w:rPr>
                <w:rFonts w:eastAsiaTheme="minorEastAsia"/>
                <w:sz w:val="24"/>
                <w:szCs w:val="24"/>
              </w:rPr>
            </w:pPr>
            <w:r w:rsidRPr="001D0CF3">
              <w:rPr>
                <w:rFonts w:eastAsiaTheme="minorEastAsia"/>
                <w:sz w:val="24"/>
                <w:szCs w:val="24"/>
              </w:rPr>
              <w:t>0.78625</w:t>
            </w:r>
          </w:p>
        </w:tc>
      </w:tr>
      <w:tr w:rsidR="00F83487" w:rsidRPr="001D0CF3" w14:paraId="407A6C6A" w14:textId="77777777" w:rsidTr="00F83487">
        <w:trPr>
          <w:trHeight w:val="287"/>
        </w:trPr>
        <w:tc>
          <w:tcPr>
            <w:tcW w:w="1555" w:type="dxa"/>
            <w:noWrap/>
            <w:hideMark/>
          </w:tcPr>
          <w:p w14:paraId="3DE04AC3" w14:textId="2CE11F28" w:rsidR="001D0CF3" w:rsidRPr="00AA4F32" w:rsidRDefault="0062217F" w:rsidP="001D0CF3">
            <w:pPr>
              <w:jc w:val="both"/>
              <w:rPr>
                <w:rFonts w:eastAsiaTheme="minorEastAsia"/>
                <w:sz w:val="24"/>
                <w:szCs w:val="24"/>
              </w:rPr>
            </w:pPr>
            <m:oMathPara>
              <m:oMathParaPr>
                <m:jc m:val="left"/>
              </m:oMathParaPr>
              <m:oMath>
                <m:sSub>
                  <m:sSubPr>
                    <m:ctrlPr>
                      <w:rPr>
                        <w:rFonts w:ascii="Cambria Math" w:eastAsia="Times New Roman" w:hAnsi="Cambria Math" w:cs="Calibri"/>
                        <w:i/>
                        <w:color w:val="000000"/>
                        <w:lang w:val="es-CL" w:eastAsia="es-CL"/>
                      </w:rPr>
                    </m:ctrlPr>
                  </m:sSubPr>
                  <m:e>
                    <m:r>
                      <w:rPr>
                        <w:rFonts w:ascii="Cambria Math" w:eastAsia="Times New Roman" w:hAnsi="Cambria Math" w:cs="Calibri"/>
                        <w:color w:val="000000"/>
                        <w:lang w:val="es-CL" w:eastAsia="es-CL"/>
                      </w:rPr>
                      <m:t>ν</m:t>
                    </m:r>
                  </m:e>
                  <m:sub>
                    <m:r>
                      <w:rPr>
                        <w:rFonts w:ascii="Cambria Math" w:eastAsia="Times New Roman" w:hAnsi="Cambria Math" w:cs="Calibri"/>
                        <w:color w:val="000000"/>
                        <w:lang w:val="es-CL" w:eastAsia="es-CL"/>
                      </w:rPr>
                      <m:t>1</m:t>
                    </m:r>
                  </m:sub>
                </m:sSub>
              </m:oMath>
            </m:oMathPara>
          </w:p>
        </w:tc>
        <w:tc>
          <w:tcPr>
            <w:tcW w:w="1417" w:type="dxa"/>
            <w:noWrap/>
            <w:hideMark/>
          </w:tcPr>
          <w:p w14:paraId="60A0E4B8" w14:textId="77777777" w:rsidR="001D0CF3" w:rsidRPr="001D0CF3" w:rsidRDefault="001D0CF3" w:rsidP="001D0CF3">
            <w:pPr>
              <w:jc w:val="both"/>
              <w:rPr>
                <w:rFonts w:eastAsiaTheme="minorEastAsia"/>
                <w:sz w:val="24"/>
                <w:szCs w:val="24"/>
              </w:rPr>
            </w:pPr>
            <w:r w:rsidRPr="001D0CF3">
              <w:rPr>
                <w:rFonts w:eastAsiaTheme="minorEastAsia"/>
                <w:sz w:val="24"/>
                <w:szCs w:val="24"/>
              </w:rPr>
              <w:t>0.0022626</w:t>
            </w:r>
          </w:p>
        </w:tc>
        <w:tc>
          <w:tcPr>
            <w:tcW w:w="1276" w:type="dxa"/>
            <w:noWrap/>
            <w:hideMark/>
          </w:tcPr>
          <w:p w14:paraId="1773446F" w14:textId="77777777" w:rsidR="001D0CF3" w:rsidRPr="001D0CF3" w:rsidRDefault="001D0CF3" w:rsidP="001D0CF3">
            <w:pPr>
              <w:jc w:val="both"/>
              <w:rPr>
                <w:rFonts w:eastAsiaTheme="minorEastAsia"/>
                <w:sz w:val="24"/>
                <w:szCs w:val="24"/>
              </w:rPr>
            </w:pPr>
            <w:r w:rsidRPr="001D0CF3">
              <w:rPr>
                <w:rFonts w:eastAsiaTheme="minorEastAsia"/>
                <w:sz w:val="24"/>
                <w:szCs w:val="24"/>
              </w:rPr>
              <w:t>0.00216</w:t>
            </w:r>
          </w:p>
        </w:tc>
        <w:tc>
          <w:tcPr>
            <w:tcW w:w="850" w:type="dxa"/>
            <w:noWrap/>
            <w:hideMark/>
          </w:tcPr>
          <w:p w14:paraId="3C1504C8" w14:textId="77777777" w:rsidR="001D0CF3" w:rsidRPr="001D0CF3" w:rsidRDefault="001D0CF3" w:rsidP="001D0CF3">
            <w:pPr>
              <w:jc w:val="both"/>
              <w:rPr>
                <w:rFonts w:eastAsiaTheme="minorEastAsia"/>
                <w:sz w:val="24"/>
                <w:szCs w:val="24"/>
              </w:rPr>
            </w:pPr>
            <w:r w:rsidRPr="001D0CF3">
              <w:rPr>
                <w:rFonts w:eastAsiaTheme="minorEastAsia"/>
                <w:sz w:val="24"/>
                <w:szCs w:val="24"/>
              </w:rPr>
              <w:t>1.05</w:t>
            </w:r>
          </w:p>
        </w:tc>
        <w:tc>
          <w:tcPr>
            <w:tcW w:w="993" w:type="dxa"/>
            <w:noWrap/>
            <w:hideMark/>
          </w:tcPr>
          <w:p w14:paraId="0D6537D0" w14:textId="77777777" w:rsidR="001D0CF3" w:rsidRPr="001D0CF3" w:rsidRDefault="001D0CF3" w:rsidP="001D0CF3">
            <w:pPr>
              <w:jc w:val="both"/>
              <w:rPr>
                <w:rFonts w:eastAsiaTheme="minorEastAsia"/>
                <w:sz w:val="24"/>
                <w:szCs w:val="24"/>
              </w:rPr>
            </w:pPr>
            <w:r w:rsidRPr="001D0CF3">
              <w:rPr>
                <w:rFonts w:eastAsiaTheme="minorEastAsia"/>
                <w:sz w:val="24"/>
                <w:szCs w:val="24"/>
              </w:rPr>
              <w:t>0.295</w:t>
            </w:r>
          </w:p>
        </w:tc>
        <w:tc>
          <w:tcPr>
            <w:tcW w:w="1559" w:type="dxa"/>
            <w:noWrap/>
            <w:hideMark/>
          </w:tcPr>
          <w:p w14:paraId="7F1AE127" w14:textId="77777777" w:rsidR="001D0CF3" w:rsidRPr="001D0CF3" w:rsidRDefault="001D0CF3" w:rsidP="001D0CF3">
            <w:pPr>
              <w:jc w:val="both"/>
              <w:rPr>
                <w:rFonts w:eastAsiaTheme="minorEastAsia"/>
                <w:sz w:val="24"/>
                <w:szCs w:val="24"/>
              </w:rPr>
            </w:pPr>
            <w:r w:rsidRPr="001D0CF3">
              <w:rPr>
                <w:rFonts w:eastAsiaTheme="minorEastAsia"/>
                <w:sz w:val="24"/>
                <w:szCs w:val="24"/>
              </w:rPr>
              <w:t>-0.00129</w:t>
            </w:r>
          </w:p>
        </w:tc>
        <w:tc>
          <w:tcPr>
            <w:tcW w:w="1614" w:type="dxa"/>
            <w:noWrap/>
            <w:hideMark/>
          </w:tcPr>
          <w:p w14:paraId="453C9705" w14:textId="77777777" w:rsidR="001D0CF3" w:rsidRPr="001D0CF3" w:rsidRDefault="001D0CF3" w:rsidP="001D0CF3">
            <w:pPr>
              <w:jc w:val="both"/>
              <w:rPr>
                <w:rFonts w:eastAsiaTheme="minorEastAsia"/>
                <w:sz w:val="24"/>
                <w:szCs w:val="24"/>
              </w:rPr>
            </w:pPr>
            <w:r w:rsidRPr="001D0CF3">
              <w:rPr>
                <w:rFonts w:eastAsiaTheme="minorEastAsia"/>
                <w:sz w:val="24"/>
                <w:szCs w:val="24"/>
              </w:rPr>
              <w:t>0.005816</w:t>
            </w:r>
          </w:p>
        </w:tc>
      </w:tr>
      <w:tr w:rsidR="00F83487" w:rsidRPr="001D0CF3" w14:paraId="3BF92452" w14:textId="77777777" w:rsidTr="00F83487">
        <w:trPr>
          <w:trHeight w:val="287"/>
        </w:trPr>
        <w:tc>
          <w:tcPr>
            <w:tcW w:w="1555" w:type="dxa"/>
            <w:noWrap/>
            <w:hideMark/>
          </w:tcPr>
          <w:p w14:paraId="339DF0EE" w14:textId="3E8B8557" w:rsidR="001D0CF3" w:rsidRPr="00EB6E97" w:rsidRDefault="001D0CF3" w:rsidP="001D0CF3">
            <w:pPr>
              <w:jc w:val="both"/>
              <w:rPr>
                <w:rFonts w:eastAsiaTheme="minorEastAsia"/>
                <w:b/>
                <w:bCs/>
                <w:sz w:val="24"/>
                <w:szCs w:val="24"/>
              </w:rPr>
            </w:pPr>
            <w:r w:rsidRPr="00EB6E97">
              <w:rPr>
                <w:rFonts w:eastAsiaTheme="minorEastAsia"/>
                <w:b/>
                <w:bCs/>
                <w:sz w:val="24"/>
                <w:szCs w:val="24"/>
              </w:rPr>
              <w:t>Chile</w:t>
            </w:r>
            <w:r w:rsidR="00EB6E97" w:rsidRPr="00EB6E97">
              <w:rPr>
                <w:rFonts w:eastAsiaTheme="minorEastAsia"/>
                <w:b/>
                <w:bCs/>
                <w:sz w:val="24"/>
                <w:szCs w:val="24"/>
              </w:rPr>
              <w:t xml:space="preserve"> Inf.</w:t>
            </w:r>
          </w:p>
        </w:tc>
        <w:tc>
          <w:tcPr>
            <w:tcW w:w="1417" w:type="dxa"/>
            <w:noWrap/>
            <w:hideMark/>
          </w:tcPr>
          <w:p w14:paraId="4D30ACCF" w14:textId="77777777" w:rsidR="001D0CF3" w:rsidRPr="001D0CF3" w:rsidRDefault="001D0CF3" w:rsidP="001D0CF3">
            <w:pPr>
              <w:jc w:val="both"/>
              <w:rPr>
                <w:rFonts w:eastAsiaTheme="minorEastAsia"/>
                <w:sz w:val="24"/>
                <w:szCs w:val="24"/>
              </w:rPr>
            </w:pPr>
            <w:r w:rsidRPr="001D0CF3">
              <w:rPr>
                <w:rFonts w:eastAsiaTheme="minorEastAsia"/>
                <w:sz w:val="24"/>
                <w:szCs w:val="24"/>
              </w:rPr>
              <w:t> </w:t>
            </w:r>
          </w:p>
        </w:tc>
        <w:tc>
          <w:tcPr>
            <w:tcW w:w="1276" w:type="dxa"/>
            <w:noWrap/>
            <w:hideMark/>
          </w:tcPr>
          <w:p w14:paraId="5F624C93" w14:textId="77777777" w:rsidR="001D0CF3" w:rsidRPr="001D0CF3" w:rsidRDefault="001D0CF3" w:rsidP="001D0CF3">
            <w:pPr>
              <w:jc w:val="both"/>
              <w:rPr>
                <w:rFonts w:eastAsiaTheme="minorEastAsia"/>
                <w:sz w:val="24"/>
                <w:szCs w:val="24"/>
              </w:rPr>
            </w:pPr>
            <w:r w:rsidRPr="001D0CF3">
              <w:rPr>
                <w:rFonts w:eastAsiaTheme="minorEastAsia"/>
                <w:sz w:val="24"/>
                <w:szCs w:val="24"/>
              </w:rPr>
              <w:t> </w:t>
            </w:r>
          </w:p>
        </w:tc>
        <w:tc>
          <w:tcPr>
            <w:tcW w:w="850" w:type="dxa"/>
            <w:noWrap/>
            <w:hideMark/>
          </w:tcPr>
          <w:p w14:paraId="59209943" w14:textId="77777777" w:rsidR="001D0CF3" w:rsidRPr="001D0CF3" w:rsidRDefault="001D0CF3" w:rsidP="001D0CF3">
            <w:pPr>
              <w:jc w:val="both"/>
              <w:rPr>
                <w:rFonts w:eastAsiaTheme="minorEastAsia"/>
                <w:sz w:val="24"/>
                <w:szCs w:val="24"/>
              </w:rPr>
            </w:pPr>
            <w:r w:rsidRPr="001D0CF3">
              <w:rPr>
                <w:rFonts w:eastAsiaTheme="minorEastAsia"/>
                <w:sz w:val="24"/>
                <w:szCs w:val="24"/>
              </w:rPr>
              <w:t> </w:t>
            </w:r>
          </w:p>
        </w:tc>
        <w:tc>
          <w:tcPr>
            <w:tcW w:w="993" w:type="dxa"/>
            <w:noWrap/>
            <w:hideMark/>
          </w:tcPr>
          <w:p w14:paraId="52A494D4" w14:textId="77777777" w:rsidR="001D0CF3" w:rsidRPr="001D0CF3" w:rsidRDefault="001D0CF3" w:rsidP="001D0CF3">
            <w:pPr>
              <w:jc w:val="both"/>
              <w:rPr>
                <w:rFonts w:eastAsiaTheme="minorEastAsia"/>
                <w:sz w:val="24"/>
                <w:szCs w:val="24"/>
              </w:rPr>
            </w:pPr>
            <w:r w:rsidRPr="001D0CF3">
              <w:rPr>
                <w:rFonts w:eastAsiaTheme="minorEastAsia"/>
                <w:sz w:val="24"/>
                <w:szCs w:val="24"/>
              </w:rPr>
              <w:t> </w:t>
            </w:r>
          </w:p>
        </w:tc>
        <w:tc>
          <w:tcPr>
            <w:tcW w:w="1559" w:type="dxa"/>
            <w:noWrap/>
            <w:hideMark/>
          </w:tcPr>
          <w:p w14:paraId="0EEE5BAA" w14:textId="77777777" w:rsidR="001D0CF3" w:rsidRPr="001D0CF3" w:rsidRDefault="001D0CF3" w:rsidP="001D0CF3">
            <w:pPr>
              <w:jc w:val="both"/>
              <w:rPr>
                <w:rFonts w:eastAsiaTheme="minorEastAsia"/>
                <w:sz w:val="24"/>
                <w:szCs w:val="24"/>
              </w:rPr>
            </w:pPr>
            <w:r w:rsidRPr="001D0CF3">
              <w:rPr>
                <w:rFonts w:eastAsiaTheme="minorEastAsia"/>
                <w:sz w:val="24"/>
                <w:szCs w:val="24"/>
              </w:rPr>
              <w:t> </w:t>
            </w:r>
          </w:p>
        </w:tc>
        <w:tc>
          <w:tcPr>
            <w:tcW w:w="1614" w:type="dxa"/>
            <w:noWrap/>
            <w:hideMark/>
          </w:tcPr>
          <w:p w14:paraId="693F49A5" w14:textId="77777777" w:rsidR="001D0CF3" w:rsidRPr="001D0CF3" w:rsidRDefault="001D0CF3" w:rsidP="001D0CF3">
            <w:pPr>
              <w:jc w:val="both"/>
              <w:rPr>
                <w:rFonts w:eastAsiaTheme="minorEastAsia"/>
                <w:sz w:val="24"/>
                <w:szCs w:val="24"/>
              </w:rPr>
            </w:pPr>
            <w:r w:rsidRPr="001D0CF3">
              <w:rPr>
                <w:rFonts w:eastAsiaTheme="minorEastAsia"/>
                <w:sz w:val="24"/>
                <w:szCs w:val="24"/>
              </w:rPr>
              <w:t> </w:t>
            </w:r>
          </w:p>
        </w:tc>
      </w:tr>
      <w:tr w:rsidR="00F83487" w:rsidRPr="001D0CF3" w14:paraId="500936F1" w14:textId="77777777" w:rsidTr="00F83487">
        <w:trPr>
          <w:trHeight w:val="287"/>
        </w:trPr>
        <w:tc>
          <w:tcPr>
            <w:tcW w:w="1555" w:type="dxa"/>
            <w:noWrap/>
            <w:vAlign w:val="bottom"/>
            <w:hideMark/>
          </w:tcPr>
          <w:p w14:paraId="5FF32E69" w14:textId="463781FF" w:rsidR="00EB6E97" w:rsidRPr="001D0CF3" w:rsidRDefault="00EB6E97" w:rsidP="00EB6E97">
            <w:pPr>
              <w:jc w:val="both"/>
              <w:rPr>
                <w:rFonts w:eastAsiaTheme="minorEastAsia"/>
                <w:sz w:val="24"/>
                <w:szCs w:val="24"/>
              </w:rPr>
            </w:pPr>
            <m:oMath>
              <m:r>
                <w:rPr>
                  <w:rFonts w:ascii="Cambria Math" w:eastAsia="Times New Roman" w:hAnsi="Cambria Math" w:cs="Calibri"/>
                  <w:color w:val="000000"/>
                </w:rPr>
                <m:t>∆E</m:t>
              </m:r>
            </m:oMath>
            <w:r w:rsidRPr="00B33637">
              <w:rPr>
                <w:rFonts w:ascii="Calibri" w:eastAsia="Times New Roman" w:hAnsi="Calibri" w:cs="Calibri"/>
                <w:color w:val="000000"/>
                <w:lang w:val="es-CL" w:eastAsia="es-CL"/>
              </w:rPr>
              <w:t xml:space="preserve"> </w:t>
            </w:r>
            <m:oMath>
              <m:sSub>
                <m:sSubPr>
                  <m:ctrlPr>
                    <w:rPr>
                      <w:rFonts w:ascii="Cambria Math" w:eastAsia="Times New Roman" w:hAnsi="Cambria Math" w:cs="Calibri"/>
                      <w:i/>
                      <w:color w:val="000000"/>
                      <w:lang w:val="es-CL" w:eastAsia="es-CL"/>
                    </w:rPr>
                  </m:ctrlPr>
                </m:sSubPr>
                <m:e>
                  <m:r>
                    <w:rPr>
                      <w:rFonts w:ascii="Cambria Math" w:eastAsia="Times New Roman" w:hAnsi="Cambria Math" w:cs="Calibri"/>
                      <w:color w:val="000000"/>
                      <w:lang w:val="es-CL" w:eastAsia="es-CL"/>
                    </w:rPr>
                    <m:t>L</m:t>
                  </m:r>
                </m:e>
                <m:sub>
                  <m:r>
                    <w:rPr>
                      <w:rFonts w:ascii="Cambria Math" w:eastAsia="Times New Roman" w:hAnsi="Cambria Math" w:cs="Calibri"/>
                      <w:color w:val="000000"/>
                      <w:lang w:val="es-CL" w:eastAsia="es-CL"/>
                    </w:rPr>
                    <m:t>1</m:t>
                  </m:r>
                </m:sub>
              </m:sSub>
            </m:oMath>
          </w:p>
        </w:tc>
        <w:tc>
          <w:tcPr>
            <w:tcW w:w="1417" w:type="dxa"/>
            <w:noWrap/>
            <w:hideMark/>
          </w:tcPr>
          <w:p w14:paraId="0F485D12" w14:textId="77777777" w:rsidR="00EB6E97" w:rsidRPr="001D0CF3" w:rsidRDefault="00EB6E97" w:rsidP="00EB6E97">
            <w:pPr>
              <w:jc w:val="both"/>
              <w:rPr>
                <w:rFonts w:eastAsiaTheme="minorEastAsia"/>
                <w:sz w:val="24"/>
                <w:szCs w:val="24"/>
              </w:rPr>
            </w:pPr>
            <w:r w:rsidRPr="001D0CF3">
              <w:rPr>
                <w:rFonts w:eastAsiaTheme="minorEastAsia"/>
                <w:sz w:val="24"/>
                <w:szCs w:val="24"/>
              </w:rPr>
              <w:t>0.0280341</w:t>
            </w:r>
          </w:p>
        </w:tc>
        <w:tc>
          <w:tcPr>
            <w:tcW w:w="1276" w:type="dxa"/>
            <w:noWrap/>
            <w:hideMark/>
          </w:tcPr>
          <w:p w14:paraId="662736BB" w14:textId="77777777" w:rsidR="00EB6E97" w:rsidRPr="001D0CF3" w:rsidRDefault="00EB6E97" w:rsidP="00EB6E97">
            <w:pPr>
              <w:jc w:val="both"/>
              <w:rPr>
                <w:rFonts w:eastAsiaTheme="minorEastAsia"/>
                <w:sz w:val="24"/>
                <w:szCs w:val="24"/>
              </w:rPr>
            </w:pPr>
            <w:r w:rsidRPr="001D0CF3">
              <w:rPr>
                <w:rFonts w:eastAsiaTheme="minorEastAsia"/>
                <w:sz w:val="24"/>
                <w:szCs w:val="24"/>
              </w:rPr>
              <w:t>0.007919</w:t>
            </w:r>
          </w:p>
        </w:tc>
        <w:tc>
          <w:tcPr>
            <w:tcW w:w="850" w:type="dxa"/>
            <w:noWrap/>
            <w:hideMark/>
          </w:tcPr>
          <w:p w14:paraId="096B90CF" w14:textId="77777777" w:rsidR="00EB6E97" w:rsidRPr="001D0CF3" w:rsidRDefault="00EB6E97" w:rsidP="00EB6E97">
            <w:pPr>
              <w:jc w:val="both"/>
              <w:rPr>
                <w:rFonts w:eastAsiaTheme="minorEastAsia"/>
                <w:sz w:val="24"/>
                <w:szCs w:val="24"/>
              </w:rPr>
            </w:pPr>
            <w:r w:rsidRPr="001D0CF3">
              <w:rPr>
                <w:rFonts w:eastAsiaTheme="minorEastAsia"/>
                <w:sz w:val="24"/>
                <w:szCs w:val="24"/>
              </w:rPr>
              <w:t>3.54</w:t>
            </w:r>
          </w:p>
        </w:tc>
        <w:tc>
          <w:tcPr>
            <w:tcW w:w="993" w:type="dxa"/>
            <w:noWrap/>
            <w:hideMark/>
          </w:tcPr>
          <w:p w14:paraId="7E9F05C0" w14:textId="77777777" w:rsidR="00EB6E97" w:rsidRPr="001D0CF3" w:rsidRDefault="00EB6E97" w:rsidP="00EB6E97">
            <w:pPr>
              <w:jc w:val="both"/>
              <w:rPr>
                <w:rFonts w:eastAsiaTheme="minorEastAsia"/>
                <w:sz w:val="24"/>
                <w:szCs w:val="24"/>
              </w:rPr>
            </w:pPr>
            <w:r w:rsidRPr="001D0CF3">
              <w:rPr>
                <w:rFonts w:eastAsiaTheme="minorEastAsia"/>
                <w:sz w:val="24"/>
                <w:szCs w:val="24"/>
              </w:rPr>
              <w:t>0</w:t>
            </w:r>
          </w:p>
        </w:tc>
        <w:tc>
          <w:tcPr>
            <w:tcW w:w="1559" w:type="dxa"/>
            <w:noWrap/>
            <w:hideMark/>
          </w:tcPr>
          <w:p w14:paraId="35AC8B90" w14:textId="77777777" w:rsidR="00EB6E97" w:rsidRPr="001D0CF3" w:rsidRDefault="00EB6E97" w:rsidP="00EB6E97">
            <w:pPr>
              <w:jc w:val="both"/>
              <w:rPr>
                <w:rFonts w:eastAsiaTheme="minorEastAsia"/>
                <w:sz w:val="24"/>
                <w:szCs w:val="24"/>
              </w:rPr>
            </w:pPr>
            <w:r w:rsidRPr="001D0CF3">
              <w:rPr>
                <w:rFonts w:eastAsiaTheme="minorEastAsia"/>
                <w:sz w:val="24"/>
                <w:szCs w:val="24"/>
              </w:rPr>
              <w:t>0.015009</w:t>
            </w:r>
          </w:p>
        </w:tc>
        <w:tc>
          <w:tcPr>
            <w:tcW w:w="1614" w:type="dxa"/>
            <w:noWrap/>
            <w:hideMark/>
          </w:tcPr>
          <w:p w14:paraId="3772F40C" w14:textId="77777777" w:rsidR="00EB6E97" w:rsidRPr="001D0CF3" w:rsidRDefault="00EB6E97" w:rsidP="00EB6E97">
            <w:pPr>
              <w:jc w:val="both"/>
              <w:rPr>
                <w:rFonts w:eastAsiaTheme="minorEastAsia"/>
                <w:sz w:val="24"/>
                <w:szCs w:val="24"/>
              </w:rPr>
            </w:pPr>
            <w:r w:rsidRPr="001D0CF3">
              <w:rPr>
                <w:rFonts w:eastAsiaTheme="minorEastAsia"/>
                <w:sz w:val="24"/>
                <w:szCs w:val="24"/>
              </w:rPr>
              <w:t>0.041059</w:t>
            </w:r>
          </w:p>
        </w:tc>
      </w:tr>
      <w:tr w:rsidR="00F83487" w:rsidRPr="001D0CF3" w14:paraId="1DF5C475" w14:textId="77777777" w:rsidTr="00F83487">
        <w:trPr>
          <w:trHeight w:val="287"/>
        </w:trPr>
        <w:tc>
          <w:tcPr>
            <w:tcW w:w="1555" w:type="dxa"/>
            <w:noWrap/>
            <w:vAlign w:val="bottom"/>
            <w:hideMark/>
          </w:tcPr>
          <w:p w14:paraId="0C8D9970" w14:textId="6CAC29AE" w:rsidR="00EB6E97" w:rsidRPr="001D0CF3" w:rsidRDefault="00EB6E97" w:rsidP="00EB6E97">
            <w:pPr>
              <w:jc w:val="both"/>
              <w:rPr>
                <w:rFonts w:eastAsiaTheme="minorEastAsia"/>
                <w:sz w:val="24"/>
                <w:szCs w:val="24"/>
              </w:rPr>
            </w:pPr>
            <w:r w:rsidRPr="00B33637">
              <w:rPr>
                <w:rFonts w:ascii="Calibri" w:eastAsia="Times New Roman" w:hAnsi="Calibri" w:cs="Calibri"/>
                <w:color w:val="000000"/>
                <w:lang w:val="es-CL" w:eastAsia="es-CL"/>
              </w:rPr>
              <w:t>Chile</w:t>
            </w:r>
            <w:r>
              <w:rPr>
                <w:rFonts w:ascii="Calibri" w:eastAsia="Times New Roman" w:hAnsi="Calibri" w:cs="Calibri"/>
                <w:color w:val="000000"/>
                <w:lang w:val="es-CL" w:eastAsia="es-CL"/>
              </w:rPr>
              <w:t xml:space="preserve"> </w:t>
            </w:r>
            <w:r w:rsidRPr="00B33637">
              <w:rPr>
                <w:rFonts w:ascii="Calibri" w:eastAsia="Times New Roman" w:hAnsi="Calibri" w:cs="Calibri"/>
                <w:color w:val="000000"/>
                <w:lang w:val="es-CL" w:eastAsia="es-CL"/>
              </w:rPr>
              <w:t xml:space="preserve">Inf. </w:t>
            </w:r>
            <m:oMath>
              <m:sSub>
                <m:sSubPr>
                  <m:ctrlPr>
                    <w:rPr>
                      <w:rFonts w:ascii="Cambria Math" w:eastAsia="Times New Roman" w:hAnsi="Cambria Math" w:cs="Calibri"/>
                      <w:i/>
                      <w:color w:val="000000"/>
                      <w:lang w:val="es-CL" w:eastAsia="es-CL"/>
                    </w:rPr>
                  </m:ctrlPr>
                </m:sSubPr>
                <m:e>
                  <m:r>
                    <w:rPr>
                      <w:rFonts w:ascii="Cambria Math" w:eastAsia="Times New Roman" w:hAnsi="Cambria Math" w:cs="Calibri"/>
                      <w:color w:val="000000"/>
                      <w:lang w:val="es-CL" w:eastAsia="es-CL"/>
                    </w:rPr>
                    <m:t>L</m:t>
                  </m:r>
                </m:e>
                <m:sub>
                  <m:r>
                    <w:rPr>
                      <w:rFonts w:ascii="Cambria Math" w:eastAsia="Times New Roman" w:hAnsi="Cambria Math" w:cs="Calibri"/>
                      <w:color w:val="000000"/>
                      <w:lang w:val="es-CL" w:eastAsia="es-CL"/>
                    </w:rPr>
                    <m:t>1</m:t>
                  </m:r>
                </m:sub>
              </m:sSub>
            </m:oMath>
          </w:p>
        </w:tc>
        <w:tc>
          <w:tcPr>
            <w:tcW w:w="1417" w:type="dxa"/>
            <w:noWrap/>
            <w:hideMark/>
          </w:tcPr>
          <w:p w14:paraId="2F442805" w14:textId="77777777" w:rsidR="00EB6E97" w:rsidRPr="001D0CF3" w:rsidRDefault="00EB6E97" w:rsidP="00EB6E97">
            <w:pPr>
              <w:jc w:val="both"/>
              <w:rPr>
                <w:rFonts w:eastAsiaTheme="minorEastAsia"/>
                <w:sz w:val="24"/>
                <w:szCs w:val="24"/>
              </w:rPr>
            </w:pPr>
            <w:r w:rsidRPr="001D0CF3">
              <w:rPr>
                <w:rFonts w:eastAsiaTheme="minorEastAsia"/>
                <w:sz w:val="24"/>
                <w:szCs w:val="24"/>
              </w:rPr>
              <w:t>0.3557654</w:t>
            </w:r>
          </w:p>
        </w:tc>
        <w:tc>
          <w:tcPr>
            <w:tcW w:w="1276" w:type="dxa"/>
            <w:noWrap/>
            <w:hideMark/>
          </w:tcPr>
          <w:p w14:paraId="64C0027C" w14:textId="77777777" w:rsidR="00EB6E97" w:rsidRPr="001D0CF3" w:rsidRDefault="00EB6E97" w:rsidP="00EB6E97">
            <w:pPr>
              <w:jc w:val="both"/>
              <w:rPr>
                <w:rFonts w:eastAsiaTheme="minorEastAsia"/>
                <w:sz w:val="24"/>
                <w:szCs w:val="24"/>
              </w:rPr>
            </w:pPr>
            <w:r w:rsidRPr="001D0CF3">
              <w:rPr>
                <w:rFonts w:eastAsiaTheme="minorEastAsia"/>
                <w:sz w:val="24"/>
                <w:szCs w:val="24"/>
              </w:rPr>
              <w:t>0.054464</w:t>
            </w:r>
          </w:p>
        </w:tc>
        <w:tc>
          <w:tcPr>
            <w:tcW w:w="850" w:type="dxa"/>
            <w:noWrap/>
            <w:hideMark/>
          </w:tcPr>
          <w:p w14:paraId="352C3181" w14:textId="77777777" w:rsidR="00EB6E97" w:rsidRPr="001D0CF3" w:rsidRDefault="00EB6E97" w:rsidP="00EB6E97">
            <w:pPr>
              <w:jc w:val="both"/>
              <w:rPr>
                <w:rFonts w:eastAsiaTheme="minorEastAsia"/>
                <w:sz w:val="24"/>
                <w:szCs w:val="24"/>
              </w:rPr>
            </w:pPr>
            <w:r w:rsidRPr="001D0CF3">
              <w:rPr>
                <w:rFonts w:eastAsiaTheme="minorEastAsia"/>
                <w:sz w:val="24"/>
                <w:szCs w:val="24"/>
              </w:rPr>
              <w:t>6.53</w:t>
            </w:r>
          </w:p>
        </w:tc>
        <w:tc>
          <w:tcPr>
            <w:tcW w:w="993" w:type="dxa"/>
            <w:noWrap/>
            <w:hideMark/>
          </w:tcPr>
          <w:p w14:paraId="7B73EF43" w14:textId="77777777" w:rsidR="00EB6E97" w:rsidRPr="001D0CF3" w:rsidRDefault="00EB6E97" w:rsidP="00EB6E97">
            <w:pPr>
              <w:jc w:val="both"/>
              <w:rPr>
                <w:rFonts w:eastAsiaTheme="minorEastAsia"/>
                <w:sz w:val="24"/>
                <w:szCs w:val="24"/>
              </w:rPr>
            </w:pPr>
            <w:r w:rsidRPr="001D0CF3">
              <w:rPr>
                <w:rFonts w:eastAsiaTheme="minorEastAsia"/>
                <w:sz w:val="24"/>
                <w:szCs w:val="24"/>
              </w:rPr>
              <w:t>0</w:t>
            </w:r>
          </w:p>
        </w:tc>
        <w:tc>
          <w:tcPr>
            <w:tcW w:w="1559" w:type="dxa"/>
            <w:noWrap/>
            <w:hideMark/>
          </w:tcPr>
          <w:p w14:paraId="29AECF88" w14:textId="77777777" w:rsidR="00EB6E97" w:rsidRPr="001D0CF3" w:rsidRDefault="00EB6E97" w:rsidP="00EB6E97">
            <w:pPr>
              <w:jc w:val="both"/>
              <w:rPr>
                <w:rFonts w:eastAsiaTheme="minorEastAsia"/>
                <w:sz w:val="24"/>
                <w:szCs w:val="24"/>
              </w:rPr>
            </w:pPr>
            <w:r w:rsidRPr="001D0CF3">
              <w:rPr>
                <w:rFonts w:eastAsiaTheme="minorEastAsia"/>
                <w:sz w:val="24"/>
                <w:szCs w:val="24"/>
              </w:rPr>
              <w:t>0.26618</w:t>
            </w:r>
          </w:p>
        </w:tc>
        <w:tc>
          <w:tcPr>
            <w:tcW w:w="1614" w:type="dxa"/>
            <w:noWrap/>
            <w:hideMark/>
          </w:tcPr>
          <w:p w14:paraId="325C675A" w14:textId="77777777" w:rsidR="00EB6E97" w:rsidRPr="001D0CF3" w:rsidRDefault="00EB6E97" w:rsidP="00EB6E97">
            <w:pPr>
              <w:jc w:val="both"/>
              <w:rPr>
                <w:rFonts w:eastAsiaTheme="minorEastAsia"/>
                <w:sz w:val="24"/>
                <w:szCs w:val="24"/>
              </w:rPr>
            </w:pPr>
            <w:r w:rsidRPr="001D0CF3">
              <w:rPr>
                <w:rFonts w:eastAsiaTheme="minorEastAsia"/>
                <w:sz w:val="24"/>
                <w:szCs w:val="24"/>
              </w:rPr>
              <w:t>0.445351</w:t>
            </w:r>
          </w:p>
        </w:tc>
      </w:tr>
      <w:tr w:rsidR="00F83487" w:rsidRPr="001D0CF3" w14:paraId="36AD15B3" w14:textId="77777777" w:rsidTr="00F83487">
        <w:trPr>
          <w:trHeight w:val="287"/>
        </w:trPr>
        <w:tc>
          <w:tcPr>
            <w:tcW w:w="1555" w:type="dxa"/>
            <w:noWrap/>
            <w:vAlign w:val="bottom"/>
            <w:hideMark/>
          </w:tcPr>
          <w:p w14:paraId="787E9165" w14:textId="4547BDA8" w:rsidR="00EB6E97" w:rsidRPr="001D0CF3" w:rsidRDefault="00EB6E97" w:rsidP="00EB6E97">
            <w:pPr>
              <w:jc w:val="both"/>
              <w:rPr>
                <w:rFonts w:eastAsiaTheme="minorEastAsia"/>
                <w:sz w:val="24"/>
                <w:szCs w:val="24"/>
              </w:rPr>
            </w:pPr>
            <m:oMath>
              <m:r>
                <m:rPr>
                  <m:sty m:val="bi"/>
                </m:rPr>
                <w:rPr>
                  <w:rFonts w:ascii="Cambria Math" w:eastAsia="Times New Roman" w:hAnsi="Cambria Math" w:cs="Calibri"/>
                  <w:color w:val="000000"/>
                </w:rPr>
                <m:t>∆</m:t>
              </m:r>
            </m:oMath>
            <w:r w:rsidRPr="00B33637">
              <w:rPr>
                <w:rFonts w:ascii="Calibri" w:eastAsia="Times New Roman" w:hAnsi="Calibri" w:cs="Calibri"/>
                <w:color w:val="000000"/>
                <w:lang w:val="es-CL" w:eastAsia="es-CL"/>
              </w:rPr>
              <w:t>T</w:t>
            </w:r>
            <w:r>
              <w:rPr>
                <w:rFonts w:ascii="Calibri" w:eastAsia="Times New Roman" w:hAnsi="Calibri" w:cs="Calibri"/>
                <w:color w:val="000000"/>
                <w:lang w:val="es-CL" w:eastAsia="es-CL"/>
              </w:rPr>
              <w:t xml:space="preserve">PM </w:t>
            </w:r>
            <m:oMath>
              <m:sSub>
                <m:sSubPr>
                  <m:ctrlPr>
                    <w:rPr>
                      <w:rFonts w:ascii="Cambria Math" w:eastAsia="Times New Roman" w:hAnsi="Cambria Math" w:cs="Calibri"/>
                      <w:i/>
                      <w:color w:val="000000"/>
                      <w:lang w:val="es-CL" w:eastAsia="es-CL"/>
                    </w:rPr>
                  </m:ctrlPr>
                </m:sSubPr>
                <m:e>
                  <m:r>
                    <w:rPr>
                      <w:rFonts w:ascii="Cambria Math" w:eastAsia="Times New Roman" w:hAnsi="Cambria Math" w:cs="Calibri"/>
                      <w:color w:val="000000"/>
                      <w:lang w:val="es-CL" w:eastAsia="es-CL"/>
                    </w:rPr>
                    <m:t>L</m:t>
                  </m:r>
                </m:e>
                <m:sub>
                  <m:r>
                    <w:rPr>
                      <w:rFonts w:ascii="Cambria Math" w:eastAsia="Times New Roman" w:hAnsi="Cambria Math" w:cs="Calibri"/>
                      <w:color w:val="000000"/>
                      <w:lang w:val="es-CL" w:eastAsia="es-CL"/>
                    </w:rPr>
                    <m:t>1</m:t>
                  </m:r>
                </m:sub>
              </m:sSub>
            </m:oMath>
          </w:p>
        </w:tc>
        <w:tc>
          <w:tcPr>
            <w:tcW w:w="1417" w:type="dxa"/>
            <w:noWrap/>
            <w:hideMark/>
          </w:tcPr>
          <w:p w14:paraId="2A9CC82D" w14:textId="77777777" w:rsidR="00EB6E97" w:rsidRPr="001D0CF3" w:rsidRDefault="00EB6E97" w:rsidP="00EB6E97">
            <w:pPr>
              <w:jc w:val="both"/>
              <w:rPr>
                <w:rFonts w:eastAsiaTheme="minorEastAsia"/>
                <w:sz w:val="24"/>
                <w:szCs w:val="24"/>
              </w:rPr>
            </w:pPr>
            <w:r w:rsidRPr="001D0CF3">
              <w:rPr>
                <w:rFonts w:eastAsiaTheme="minorEastAsia"/>
                <w:sz w:val="24"/>
                <w:szCs w:val="24"/>
              </w:rPr>
              <w:t>0.0025765</w:t>
            </w:r>
          </w:p>
        </w:tc>
        <w:tc>
          <w:tcPr>
            <w:tcW w:w="1276" w:type="dxa"/>
            <w:noWrap/>
            <w:hideMark/>
          </w:tcPr>
          <w:p w14:paraId="5BB8432F" w14:textId="77777777" w:rsidR="00EB6E97" w:rsidRPr="001D0CF3" w:rsidRDefault="00EB6E97" w:rsidP="00EB6E97">
            <w:pPr>
              <w:jc w:val="both"/>
              <w:rPr>
                <w:rFonts w:eastAsiaTheme="minorEastAsia"/>
                <w:sz w:val="24"/>
                <w:szCs w:val="24"/>
              </w:rPr>
            </w:pPr>
            <w:r w:rsidRPr="001D0CF3">
              <w:rPr>
                <w:rFonts w:eastAsiaTheme="minorEastAsia"/>
                <w:sz w:val="24"/>
                <w:szCs w:val="24"/>
              </w:rPr>
              <w:t>0.001528</w:t>
            </w:r>
          </w:p>
        </w:tc>
        <w:tc>
          <w:tcPr>
            <w:tcW w:w="850" w:type="dxa"/>
            <w:noWrap/>
            <w:hideMark/>
          </w:tcPr>
          <w:p w14:paraId="46F63DF0" w14:textId="77777777" w:rsidR="00EB6E97" w:rsidRPr="001D0CF3" w:rsidRDefault="00EB6E97" w:rsidP="00EB6E97">
            <w:pPr>
              <w:jc w:val="both"/>
              <w:rPr>
                <w:rFonts w:eastAsiaTheme="minorEastAsia"/>
                <w:sz w:val="24"/>
                <w:szCs w:val="24"/>
              </w:rPr>
            </w:pPr>
            <w:r w:rsidRPr="001D0CF3">
              <w:rPr>
                <w:rFonts w:eastAsiaTheme="minorEastAsia"/>
                <w:sz w:val="24"/>
                <w:szCs w:val="24"/>
              </w:rPr>
              <w:t>1.69</w:t>
            </w:r>
          </w:p>
        </w:tc>
        <w:tc>
          <w:tcPr>
            <w:tcW w:w="993" w:type="dxa"/>
            <w:noWrap/>
            <w:hideMark/>
          </w:tcPr>
          <w:p w14:paraId="6FB2EE2F" w14:textId="77777777" w:rsidR="00EB6E97" w:rsidRPr="001D0CF3" w:rsidRDefault="00EB6E97" w:rsidP="00EB6E97">
            <w:pPr>
              <w:jc w:val="both"/>
              <w:rPr>
                <w:rFonts w:eastAsiaTheme="minorEastAsia"/>
                <w:sz w:val="24"/>
                <w:szCs w:val="24"/>
              </w:rPr>
            </w:pPr>
            <w:r w:rsidRPr="001D0CF3">
              <w:rPr>
                <w:rFonts w:eastAsiaTheme="minorEastAsia"/>
                <w:sz w:val="24"/>
                <w:szCs w:val="24"/>
              </w:rPr>
              <w:t>0.092</w:t>
            </w:r>
          </w:p>
        </w:tc>
        <w:tc>
          <w:tcPr>
            <w:tcW w:w="1559" w:type="dxa"/>
            <w:noWrap/>
            <w:hideMark/>
          </w:tcPr>
          <w:p w14:paraId="3E6884A6" w14:textId="77777777" w:rsidR="00EB6E97" w:rsidRPr="001D0CF3" w:rsidRDefault="00EB6E97" w:rsidP="00EB6E97">
            <w:pPr>
              <w:jc w:val="both"/>
              <w:rPr>
                <w:rFonts w:eastAsiaTheme="minorEastAsia"/>
                <w:sz w:val="24"/>
                <w:szCs w:val="24"/>
              </w:rPr>
            </w:pPr>
            <w:r w:rsidRPr="001D0CF3">
              <w:rPr>
                <w:rFonts w:eastAsiaTheme="minorEastAsia"/>
                <w:sz w:val="24"/>
                <w:szCs w:val="24"/>
              </w:rPr>
              <w:t>6.33E-05</w:t>
            </w:r>
          </w:p>
        </w:tc>
        <w:tc>
          <w:tcPr>
            <w:tcW w:w="1614" w:type="dxa"/>
            <w:noWrap/>
            <w:hideMark/>
          </w:tcPr>
          <w:p w14:paraId="4AB5ACA5" w14:textId="77777777" w:rsidR="00EB6E97" w:rsidRPr="001D0CF3" w:rsidRDefault="00EB6E97" w:rsidP="00EB6E97">
            <w:pPr>
              <w:jc w:val="both"/>
              <w:rPr>
                <w:rFonts w:eastAsiaTheme="minorEastAsia"/>
                <w:sz w:val="24"/>
                <w:szCs w:val="24"/>
              </w:rPr>
            </w:pPr>
            <w:r w:rsidRPr="001D0CF3">
              <w:rPr>
                <w:rFonts w:eastAsiaTheme="minorEastAsia"/>
                <w:sz w:val="24"/>
                <w:szCs w:val="24"/>
              </w:rPr>
              <w:t>0.00509</w:t>
            </w:r>
          </w:p>
        </w:tc>
      </w:tr>
      <w:tr w:rsidR="00F83487" w:rsidRPr="001D0CF3" w14:paraId="4DD9378A" w14:textId="77777777" w:rsidTr="00F83487">
        <w:trPr>
          <w:trHeight w:val="287"/>
        </w:trPr>
        <w:tc>
          <w:tcPr>
            <w:tcW w:w="1555" w:type="dxa"/>
            <w:noWrap/>
            <w:hideMark/>
          </w:tcPr>
          <w:p w14:paraId="2926531D" w14:textId="7CECA21A" w:rsidR="00EB6E97" w:rsidRPr="001D0CF3" w:rsidRDefault="00EB6E97" w:rsidP="00EB6E97">
            <w:pPr>
              <w:jc w:val="both"/>
              <w:rPr>
                <w:rFonts w:eastAsiaTheme="minorEastAsia"/>
                <w:sz w:val="24"/>
                <w:szCs w:val="24"/>
              </w:rPr>
            </w:pPr>
            <w:r w:rsidRPr="001D0CF3">
              <w:rPr>
                <w:rFonts w:eastAsiaTheme="minorEastAsia"/>
                <w:sz w:val="24"/>
                <w:szCs w:val="24"/>
              </w:rPr>
              <w:t>US</w:t>
            </w:r>
            <w:r>
              <w:rPr>
                <w:rFonts w:eastAsiaTheme="minorEastAsia"/>
                <w:sz w:val="24"/>
                <w:szCs w:val="24"/>
              </w:rPr>
              <w:t xml:space="preserve"> Inf.</w:t>
            </w:r>
          </w:p>
        </w:tc>
        <w:tc>
          <w:tcPr>
            <w:tcW w:w="1417" w:type="dxa"/>
            <w:noWrap/>
            <w:hideMark/>
          </w:tcPr>
          <w:p w14:paraId="3E4F4645" w14:textId="77777777" w:rsidR="00EB6E97" w:rsidRPr="001D0CF3" w:rsidRDefault="00EB6E97" w:rsidP="00EB6E97">
            <w:pPr>
              <w:jc w:val="both"/>
              <w:rPr>
                <w:rFonts w:eastAsiaTheme="minorEastAsia"/>
                <w:sz w:val="24"/>
                <w:szCs w:val="24"/>
              </w:rPr>
            </w:pPr>
            <w:r w:rsidRPr="001D0CF3">
              <w:rPr>
                <w:rFonts w:eastAsiaTheme="minorEastAsia"/>
                <w:sz w:val="24"/>
                <w:szCs w:val="24"/>
              </w:rPr>
              <w:t>0.4315452</w:t>
            </w:r>
          </w:p>
        </w:tc>
        <w:tc>
          <w:tcPr>
            <w:tcW w:w="1276" w:type="dxa"/>
            <w:noWrap/>
            <w:hideMark/>
          </w:tcPr>
          <w:p w14:paraId="02478A87" w14:textId="77777777" w:rsidR="00EB6E97" w:rsidRPr="001D0CF3" w:rsidRDefault="00EB6E97" w:rsidP="00EB6E97">
            <w:pPr>
              <w:jc w:val="both"/>
              <w:rPr>
                <w:rFonts w:eastAsiaTheme="minorEastAsia"/>
                <w:sz w:val="24"/>
                <w:szCs w:val="24"/>
              </w:rPr>
            </w:pPr>
            <w:r w:rsidRPr="001D0CF3">
              <w:rPr>
                <w:rFonts w:eastAsiaTheme="minorEastAsia"/>
                <w:sz w:val="24"/>
                <w:szCs w:val="24"/>
              </w:rPr>
              <w:t>0.055939</w:t>
            </w:r>
          </w:p>
        </w:tc>
        <w:tc>
          <w:tcPr>
            <w:tcW w:w="850" w:type="dxa"/>
            <w:noWrap/>
            <w:hideMark/>
          </w:tcPr>
          <w:p w14:paraId="0D9A1F22" w14:textId="77777777" w:rsidR="00EB6E97" w:rsidRPr="001D0CF3" w:rsidRDefault="00EB6E97" w:rsidP="00EB6E97">
            <w:pPr>
              <w:jc w:val="both"/>
              <w:rPr>
                <w:rFonts w:eastAsiaTheme="minorEastAsia"/>
                <w:sz w:val="24"/>
                <w:szCs w:val="24"/>
              </w:rPr>
            </w:pPr>
            <w:r w:rsidRPr="001D0CF3">
              <w:rPr>
                <w:rFonts w:eastAsiaTheme="minorEastAsia"/>
                <w:sz w:val="24"/>
                <w:szCs w:val="24"/>
              </w:rPr>
              <w:t>7.71</w:t>
            </w:r>
          </w:p>
        </w:tc>
        <w:tc>
          <w:tcPr>
            <w:tcW w:w="993" w:type="dxa"/>
            <w:noWrap/>
            <w:hideMark/>
          </w:tcPr>
          <w:p w14:paraId="6CA916C5" w14:textId="77777777" w:rsidR="00EB6E97" w:rsidRPr="001D0CF3" w:rsidRDefault="00EB6E97" w:rsidP="00EB6E97">
            <w:pPr>
              <w:jc w:val="both"/>
              <w:rPr>
                <w:rFonts w:eastAsiaTheme="minorEastAsia"/>
                <w:sz w:val="24"/>
                <w:szCs w:val="24"/>
              </w:rPr>
            </w:pPr>
            <w:r w:rsidRPr="001D0CF3">
              <w:rPr>
                <w:rFonts w:eastAsiaTheme="minorEastAsia"/>
                <w:sz w:val="24"/>
                <w:szCs w:val="24"/>
              </w:rPr>
              <w:t>0</w:t>
            </w:r>
          </w:p>
        </w:tc>
        <w:tc>
          <w:tcPr>
            <w:tcW w:w="1559" w:type="dxa"/>
            <w:noWrap/>
            <w:hideMark/>
          </w:tcPr>
          <w:p w14:paraId="2DDB75FC" w14:textId="77777777" w:rsidR="00EB6E97" w:rsidRPr="001D0CF3" w:rsidRDefault="00EB6E97" w:rsidP="00EB6E97">
            <w:pPr>
              <w:jc w:val="both"/>
              <w:rPr>
                <w:rFonts w:eastAsiaTheme="minorEastAsia"/>
                <w:sz w:val="24"/>
                <w:szCs w:val="24"/>
              </w:rPr>
            </w:pPr>
            <w:r w:rsidRPr="001D0CF3">
              <w:rPr>
                <w:rFonts w:eastAsiaTheme="minorEastAsia"/>
                <w:sz w:val="24"/>
                <w:szCs w:val="24"/>
              </w:rPr>
              <w:t>0.339533</w:t>
            </w:r>
          </w:p>
        </w:tc>
        <w:tc>
          <w:tcPr>
            <w:tcW w:w="1614" w:type="dxa"/>
            <w:noWrap/>
            <w:hideMark/>
          </w:tcPr>
          <w:p w14:paraId="574A061C" w14:textId="77777777" w:rsidR="00EB6E97" w:rsidRPr="001D0CF3" w:rsidRDefault="00EB6E97" w:rsidP="00EB6E97">
            <w:pPr>
              <w:jc w:val="both"/>
              <w:rPr>
                <w:rFonts w:eastAsiaTheme="minorEastAsia"/>
                <w:sz w:val="24"/>
                <w:szCs w:val="24"/>
              </w:rPr>
            </w:pPr>
            <w:r w:rsidRPr="001D0CF3">
              <w:rPr>
                <w:rFonts w:eastAsiaTheme="minorEastAsia"/>
                <w:sz w:val="24"/>
                <w:szCs w:val="24"/>
              </w:rPr>
              <w:t>0.523557</w:t>
            </w:r>
          </w:p>
        </w:tc>
      </w:tr>
      <w:tr w:rsidR="00F83487" w:rsidRPr="001D0CF3" w14:paraId="174D005B" w14:textId="77777777" w:rsidTr="00F83487">
        <w:trPr>
          <w:trHeight w:val="287"/>
        </w:trPr>
        <w:tc>
          <w:tcPr>
            <w:tcW w:w="1555" w:type="dxa"/>
            <w:noWrap/>
            <w:hideMark/>
          </w:tcPr>
          <w:p w14:paraId="21347B08" w14:textId="1802A832" w:rsidR="00EB6E97" w:rsidRPr="001D0CF3" w:rsidRDefault="00EB6E97" w:rsidP="00EB6E97">
            <w:pPr>
              <w:jc w:val="both"/>
              <w:rPr>
                <w:rFonts w:eastAsiaTheme="minorEastAsia"/>
                <w:sz w:val="24"/>
                <w:szCs w:val="24"/>
              </w:rPr>
            </w:pPr>
            <w:r w:rsidRPr="001D0CF3">
              <w:rPr>
                <w:rFonts w:eastAsiaTheme="minorEastAsia"/>
                <w:sz w:val="24"/>
                <w:szCs w:val="24"/>
              </w:rPr>
              <w:t>China</w:t>
            </w:r>
            <w:r>
              <w:rPr>
                <w:rFonts w:eastAsiaTheme="minorEastAsia"/>
                <w:sz w:val="24"/>
                <w:szCs w:val="24"/>
              </w:rPr>
              <w:t xml:space="preserve"> Inf.</w:t>
            </w:r>
          </w:p>
        </w:tc>
        <w:tc>
          <w:tcPr>
            <w:tcW w:w="1417" w:type="dxa"/>
            <w:noWrap/>
            <w:hideMark/>
          </w:tcPr>
          <w:p w14:paraId="7560A9D6" w14:textId="77777777" w:rsidR="00EB6E97" w:rsidRPr="001D0CF3" w:rsidRDefault="00EB6E97" w:rsidP="00EB6E97">
            <w:pPr>
              <w:jc w:val="both"/>
              <w:rPr>
                <w:rFonts w:eastAsiaTheme="minorEastAsia"/>
                <w:sz w:val="24"/>
                <w:szCs w:val="24"/>
              </w:rPr>
            </w:pPr>
            <w:r w:rsidRPr="001D0CF3">
              <w:rPr>
                <w:rFonts w:eastAsiaTheme="minorEastAsia"/>
                <w:sz w:val="24"/>
                <w:szCs w:val="24"/>
              </w:rPr>
              <w:t>0.0098239</w:t>
            </w:r>
          </w:p>
        </w:tc>
        <w:tc>
          <w:tcPr>
            <w:tcW w:w="1276" w:type="dxa"/>
            <w:noWrap/>
            <w:hideMark/>
          </w:tcPr>
          <w:p w14:paraId="18605EF8" w14:textId="77777777" w:rsidR="00EB6E97" w:rsidRPr="001D0CF3" w:rsidRDefault="00EB6E97" w:rsidP="00EB6E97">
            <w:pPr>
              <w:jc w:val="both"/>
              <w:rPr>
                <w:rFonts w:eastAsiaTheme="minorEastAsia"/>
                <w:sz w:val="24"/>
                <w:szCs w:val="24"/>
              </w:rPr>
            </w:pPr>
            <w:r w:rsidRPr="001D0CF3">
              <w:rPr>
                <w:rFonts w:eastAsiaTheme="minorEastAsia"/>
                <w:sz w:val="24"/>
                <w:szCs w:val="24"/>
              </w:rPr>
              <w:t>0.032564</w:t>
            </w:r>
          </w:p>
        </w:tc>
        <w:tc>
          <w:tcPr>
            <w:tcW w:w="850" w:type="dxa"/>
            <w:noWrap/>
            <w:hideMark/>
          </w:tcPr>
          <w:p w14:paraId="44281D0C" w14:textId="77777777" w:rsidR="00EB6E97" w:rsidRPr="001D0CF3" w:rsidRDefault="00EB6E97" w:rsidP="00EB6E97">
            <w:pPr>
              <w:jc w:val="both"/>
              <w:rPr>
                <w:rFonts w:eastAsiaTheme="minorEastAsia"/>
                <w:sz w:val="24"/>
                <w:szCs w:val="24"/>
              </w:rPr>
            </w:pPr>
            <w:r w:rsidRPr="001D0CF3">
              <w:rPr>
                <w:rFonts w:eastAsiaTheme="minorEastAsia"/>
                <w:sz w:val="24"/>
                <w:szCs w:val="24"/>
              </w:rPr>
              <w:t>0.3</w:t>
            </w:r>
          </w:p>
        </w:tc>
        <w:tc>
          <w:tcPr>
            <w:tcW w:w="993" w:type="dxa"/>
            <w:noWrap/>
            <w:hideMark/>
          </w:tcPr>
          <w:p w14:paraId="51EF1DBD" w14:textId="77777777" w:rsidR="00EB6E97" w:rsidRPr="001D0CF3" w:rsidRDefault="00EB6E97" w:rsidP="00EB6E97">
            <w:pPr>
              <w:jc w:val="both"/>
              <w:rPr>
                <w:rFonts w:eastAsiaTheme="minorEastAsia"/>
                <w:sz w:val="24"/>
                <w:szCs w:val="24"/>
              </w:rPr>
            </w:pPr>
            <w:r w:rsidRPr="001D0CF3">
              <w:rPr>
                <w:rFonts w:eastAsiaTheme="minorEastAsia"/>
                <w:sz w:val="24"/>
                <w:szCs w:val="24"/>
              </w:rPr>
              <w:t>0.763</w:t>
            </w:r>
          </w:p>
        </w:tc>
        <w:tc>
          <w:tcPr>
            <w:tcW w:w="1559" w:type="dxa"/>
            <w:noWrap/>
            <w:hideMark/>
          </w:tcPr>
          <w:p w14:paraId="5D54C755" w14:textId="77777777" w:rsidR="00EB6E97" w:rsidRPr="001D0CF3" w:rsidRDefault="00EB6E97" w:rsidP="00EB6E97">
            <w:pPr>
              <w:jc w:val="both"/>
              <w:rPr>
                <w:rFonts w:eastAsiaTheme="minorEastAsia"/>
                <w:sz w:val="24"/>
                <w:szCs w:val="24"/>
              </w:rPr>
            </w:pPr>
            <w:r w:rsidRPr="001D0CF3">
              <w:rPr>
                <w:rFonts w:eastAsiaTheme="minorEastAsia"/>
                <w:sz w:val="24"/>
                <w:szCs w:val="24"/>
              </w:rPr>
              <w:t>-0.04374</w:t>
            </w:r>
          </w:p>
        </w:tc>
        <w:tc>
          <w:tcPr>
            <w:tcW w:w="1614" w:type="dxa"/>
            <w:noWrap/>
            <w:hideMark/>
          </w:tcPr>
          <w:p w14:paraId="186FE265" w14:textId="77777777" w:rsidR="00EB6E97" w:rsidRPr="001D0CF3" w:rsidRDefault="00EB6E97" w:rsidP="00EB6E97">
            <w:pPr>
              <w:jc w:val="both"/>
              <w:rPr>
                <w:rFonts w:eastAsiaTheme="minorEastAsia"/>
                <w:sz w:val="24"/>
                <w:szCs w:val="24"/>
              </w:rPr>
            </w:pPr>
            <w:r w:rsidRPr="001D0CF3">
              <w:rPr>
                <w:rFonts w:eastAsiaTheme="minorEastAsia"/>
                <w:sz w:val="24"/>
                <w:szCs w:val="24"/>
              </w:rPr>
              <w:t>0.063388</w:t>
            </w:r>
          </w:p>
        </w:tc>
      </w:tr>
      <w:tr w:rsidR="00F83487" w:rsidRPr="001D0CF3" w14:paraId="20F94BBA" w14:textId="77777777" w:rsidTr="00F83487">
        <w:trPr>
          <w:trHeight w:val="287"/>
        </w:trPr>
        <w:tc>
          <w:tcPr>
            <w:tcW w:w="1555" w:type="dxa"/>
            <w:noWrap/>
            <w:hideMark/>
          </w:tcPr>
          <w:p w14:paraId="0013575D" w14:textId="1943B5BA" w:rsidR="00EB6E97" w:rsidRPr="001D0CF3" w:rsidRDefault="00EB6E97" w:rsidP="00EB6E97">
            <w:pPr>
              <w:jc w:val="both"/>
              <w:rPr>
                <w:rFonts w:eastAsiaTheme="minorEastAsia"/>
                <w:sz w:val="24"/>
                <w:szCs w:val="24"/>
              </w:rPr>
            </w:pPr>
            <w:r w:rsidRPr="001D0CF3">
              <w:rPr>
                <w:rFonts w:eastAsiaTheme="minorEastAsia"/>
                <w:sz w:val="24"/>
                <w:szCs w:val="24"/>
              </w:rPr>
              <w:t>Eurozon</w:t>
            </w:r>
            <w:r>
              <w:rPr>
                <w:rFonts w:eastAsiaTheme="minorEastAsia"/>
                <w:sz w:val="24"/>
                <w:szCs w:val="24"/>
              </w:rPr>
              <w:t>e Inf.</w:t>
            </w:r>
          </w:p>
        </w:tc>
        <w:tc>
          <w:tcPr>
            <w:tcW w:w="1417" w:type="dxa"/>
            <w:noWrap/>
            <w:hideMark/>
          </w:tcPr>
          <w:p w14:paraId="010B3606" w14:textId="77777777" w:rsidR="00EB6E97" w:rsidRPr="001D0CF3" w:rsidRDefault="00EB6E97" w:rsidP="00EB6E97">
            <w:pPr>
              <w:jc w:val="both"/>
              <w:rPr>
                <w:rFonts w:eastAsiaTheme="minorEastAsia"/>
                <w:sz w:val="24"/>
                <w:szCs w:val="24"/>
              </w:rPr>
            </w:pPr>
            <w:r w:rsidRPr="001D0CF3">
              <w:rPr>
                <w:rFonts w:eastAsiaTheme="minorEastAsia"/>
                <w:sz w:val="24"/>
                <w:szCs w:val="24"/>
              </w:rPr>
              <w:t>0.0450226</w:t>
            </w:r>
          </w:p>
        </w:tc>
        <w:tc>
          <w:tcPr>
            <w:tcW w:w="1276" w:type="dxa"/>
            <w:noWrap/>
            <w:hideMark/>
          </w:tcPr>
          <w:p w14:paraId="2624303E" w14:textId="77777777" w:rsidR="00EB6E97" w:rsidRPr="001D0CF3" w:rsidRDefault="00EB6E97" w:rsidP="00EB6E97">
            <w:pPr>
              <w:jc w:val="both"/>
              <w:rPr>
                <w:rFonts w:eastAsiaTheme="minorEastAsia"/>
                <w:sz w:val="24"/>
                <w:szCs w:val="24"/>
              </w:rPr>
            </w:pPr>
            <w:r w:rsidRPr="001D0CF3">
              <w:rPr>
                <w:rFonts w:eastAsiaTheme="minorEastAsia"/>
                <w:sz w:val="24"/>
                <w:szCs w:val="24"/>
              </w:rPr>
              <w:t>0.048395</w:t>
            </w:r>
          </w:p>
        </w:tc>
        <w:tc>
          <w:tcPr>
            <w:tcW w:w="850" w:type="dxa"/>
            <w:noWrap/>
            <w:hideMark/>
          </w:tcPr>
          <w:p w14:paraId="555B7429" w14:textId="77777777" w:rsidR="00EB6E97" w:rsidRPr="001D0CF3" w:rsidRDefault="00EB6E97" w:rsidP="00EB6E97">
            <w:pPr>
              <w:jc w:val="both"/>
              <w:rPr>
                <w:rFonts w:eastAsiaTheme="minorEastAsia"/>
                <w:sz w:val="24"/>
                <w:szCs w:val="24"/>
              </w:rPr>
            </w:pPr>
            <w:r w:rsidRPr="001D0CF3">
              <w:rPr>
                <w:rFonts w:eastAsiaTheme="minorEastAsia"/>
                <w:sz w:val="24"/>
                <w:szCs w:val="24"/>
              </w:rPr>
              <w:t>0.93</w:t>
            </w:r>
          </w:p>
        </w:tc>
        <w:tc>
          <w:tcPr>
            <w:tcW w:w="993" w:type="dxa"/>
            <w:noWrap/>
            <w:hideMark/>
          </w:tcPr>
          <w:p w14:paraId="3084298E" w14:textId="77777777" w:rsidR="00EB6E97" w:rsidRPr="001D0CF3" w:rsidRDefault="00EB6E97" w:rsidP="00EB6E97">
            <w:pPr>
              <w:jc w:val="both"/>
              <w:rPr>
                <w:rFonts w:eastAsiaTheme="minorEastAsia"/>
                <w:sz w:val="24"/>
                <w:szCs w:val="24"/>
              </w:rPr>
            </w:pPr>
            <w:r w:rsidRPr="001D0CF3">
              <w:rPr>
                <w:rFonts w:eastAsiaTheme="minorEastAsia"/>
                <w:sz w:val="24"/>
                <w:szCs w:val="24"/>
              </w:rPr>
              <w:t>0.352</w:t>
            </w:r>
          </w:p>
        </w:tc>
        <w:tc>
          <w:tcPr>
            <w:tcW w:w="1559" w:type="dxa"/>
            <w:noWrap/>
            <w:hideMark/>
          </w:tcPr>
          <w:p w14:paraId="593AEC33" w14:textId="77777777" w:rsidR="00EB6E97" w:rsidRPr="001D0CF3" w:rsidRDefault="00EB6E97" w:rsidP="00EB6E97">
            <w:pPr>
              <w:jc w:val="both"/>
              <w:rPr>
                <w:rFonts w:eastAsiaTheme="minorEastAsia"/>
                <w:sz w:val="24"/>
                <w:szCs w:val="24"/>
              </w:rPr>
            </w:pPr>
            <w:r w:rsidRPr="001D0CF3">
              <w:rPr>
                <w:rFonts w:eastAsiaTheme="minorEastAsia"/>
                <w:sz w:val="24"/>
                <w:szCs w:val="24"/>
              </w:rPr>
              <w:t>-0.03458</w:t>
            </w:r>
          </w:p>
        </w:tc>
        <w:tc>
          <w:tcPr>
            <w:tcW w:w="1614" w:type="dxa"/>
            <w:noWrap/>
            <w:hideMark/>
          </w:tcPr>
          <w:p w14:paraId="44844289" w14:textId="77777777" w:rsidR="00EB6E97" w:rsidRPr="001D0CF3" w:rsidRDefault="00EB6E97" w:rsidP="00EB6E97">
            <w:pPr>
              <w:jc w:val="both"/>
              <w:rPr>
                <w:rFonts w:eastAsiaTheme="minorEastAsia"/>
                <w:sz w:val="24"/>
                <w:szCs w:val="24"/>
              </w:rPr>
            </w:pPr>
            <w:r w:rsidRPr="001D0CF3">
              <w:rPr>
                <w:rFonts w:eastAsiaTheme="minorEastAsia"/>
                <w:sz w:val="24"/>
                <w:szCs w:val="24"/>
              </w:rPr>
              <w:t>0.124626</w:t>
            </w:r>
          </w:p>
        </w:tc>
      </w:tr>
      <w:tr w:rsidR="00F83487" w:rsidRPr="001D0CF3" w14:paraId="20799458" w14:textId="77777777" w:rsidTr="00F83487">
        <w:trPr>
          <w:trHeight w:val="287"/>
        </w:trPr>
        <w:tc>
          <w:tcPr>
            <w:tcW w:w="1555" w:type="dxa"/>
            <w:noWrap/>
            <w:hideMark/>
          </w:tcPr>
          <w:p w14:paraId="16DADCC3" w14:textId="53B7E78F" w:rsidR="00EB6E97" w:rsidRPr="00EB6E97" w:rsidRDefault="0062217F" w:rsidP="00EB6E97">
            <w:pPr>
              <w:jc w:val="both"/>
              <w:rPr>
                <w:rFonts w:eastAsiaTheme="minorEastAsia"/>
                <w:sz w:val="24"/>
                <w:szCs w:val="24"/>
              </w:rPr>
            </w:pPr>
            <m:oMathPara>
              <m:oMathParaPr>
                <m:jc m:val="left"/>
              </m:oMathParaPr>
              <m:oMath>
                <m:sSub>
                  <m:sSubPr>
                    <m:ctrlPr>
                      <w:rPr>
                        <w:rFonts w:ascii="Cambria Math" w:eastAsia="Times New Roman" w:hAnsi="Cambria Math" w:cs="Calibri"/>
                        <w:i/>
                        <w:color w:val="000000"/>
                        <w:lang w:val="es-CL" w:eastAsia="es-CL"/>
                      </w:rPr>
                    </m:ctrlPr>
                  </m:sSubPr>
                  <m:e>
                    <m:r>
                      <w:rPr>
                        <w:rFonts w:ascii="Cambria Math" w:eastAsia="Times New Roman" w:hAnsi="Cambria Math" w:cs="Calibri"/>
                        <w:color w:val="000000"/>
                        <w:lang w:val="es-CL" w:eastAsia="es-CL"/>
                      </w:rPr>
                      <m:t>ν</m:t>
                    </m:r>
                  </m:e>
                  <m:sub>
                    <m:r>
                      <w:rPr>
                        <w:rFonts w:ascii="Cambria Math" w:eastAsia="Times New Roman" w:hAnsi="Cambria Math" w:cs="Calibri"/>
                        <w:color w:val="000000"/>
                        <w:lang w:val="es-CL" w:eastAsia="es-CL"/>
                      </w:rPr>
                      <m:t>2</m:t>
                    </m:r>
                  </m:sub>
                </m:sSub>
              </m:oMath>
            </m:oMathPara>
          </w:p>
        </w:tc>
        <w:tc>
          <w:tcPr>
            <w:tcW w:w="1417" w:type="dxa"/>
            <w:noWrap/>
            <w:hideMark/>
          </w:tcPr>
          <w:p w14:paraId="6553F589" w14:textId="77777777" w:rsidR="00EB6E97" w:rsidRPr="001D0CF3" w:rsidRDefault="00EB6E97" w:rsidP="00EB6E97">
            <w:pPr>
              <w:jc w:val="both"/>
              <w:rPr>
                <w:rFonts w:eastAsiaTheme="minorEastAsia"/>
                <w:sz w:val="24"/>
                <w:szCs w:val="24"/>
              </w:rPr>
            </w:pPr>
            <w:r w:rsidRPr="001D0CF3">
              <w:rPr>
                <w:rFonts w:eastAsiaTheme="minorEastAsia"/>
                <w:sz w:val="24"/>
                <w:szCs w:val="24"/>
              </w:rPr>
              <w:t>0.0008119</w:t>
            </w:r>
          </w:p>
        </w:tc>
        <w:tc>
          <w:tcPr>
            <w:tcW w:w="1276" w:type="dxa"/>
            <w:noWrap/>
            <w:hideMark/>
          </w:tcPr>
          <w:p w14:paraId="60FF7AA9" w14:textId="77777777" w:rsidR="00EB6E97" w:rsidRPr="001D0CF3" w:rsidRDefault="00EB6E97" w:rsidP="00EB6E97">
            <w:pPr>
              <w:jc w:val="both"/>
              <w:rPr>
                <w:rFonts w:eastAsiaTheme="minorEastAsia"/>
                <w:sz w:val="24"/>
                <w:szCs w:val="24"/>
              </w:rPr>
            </w:pPr>
            <w:r w:rsidRPr="001D0CF3">
              <w:rPr>
                <w:rFonts w:eastAsiaTheme="minorEastAsia"/>
                <w:sz w:val="24"/>
                <w:szCs w:val="24"/>
              </w:rPr>
              <w:t>0.000266</w:t>
            </w:r>
          </w:p>
        </w:tc>
        <w:tc>
          <w:tcPr>
            <w:tcW w:w="850" w:type="dxa"/>
            <w:noWrap/>
            <w:hideMark/>
          </w:tcPr>
          <w:p w14:paraId="441182D5" w14:textId="77777777" w:rsidR="00EB6E97" w:rsidRPr="001D0CF3" w:rsidRDefault="00EB6E97" w:rsidP="00EB6E97">
            <w:pPr>
              <w:jc w:val="both"/>
              <w:rPr>
                <w:rFonts w:eastAsiaTheme="minorEastAsia"/>
                <w:sz w:val="24"/>
                <w:szCs w:val="24"/>
              </w:rPr>
            </w:pPr>
            <w:r w:rsidRPr="001D0CF3">
              <w:rPr>
                <w:rFonts w:eastAsiaTheme="minorEastAsia"/>
                <w:sz w:val="24"/>
                <w:szCs w:val="24"/>
              </w:rPr>
              <w:t>3.05</w:t>
            </w:r>
          </w:p>
        </w:tc>
        <w:tc>
          <w:tcPr>
            <w:tcW w:w="993" w:type="dxa"/>
            <w:noWrap/>
            <w:hideMark/>
          </w:tcPr>
          <w:p w14:paraId="6ED4EC42" w14:textId="77777777" w:rsidR="00EB6E97" w:rsidRPr="001D0CF3" w:rsidRDefault="00EB6E97" w:rsidP="00EB6E97">
            <w:pPr>
              <w:jc w:val="both"/>
              <w:rPr>
                <w:rFonts w:eastAsiaTheme="minorEastAsia"/>
                <w:sz w:val="24"/>
                <w:szCs w:val="24"/>
              </w:rPr>
            </w:pPr>
            <w:r w:rsidRPr="001D0CF3">
              <w:rPr>
                <w:rFonts w:eastAsiaTheme="minorEastAsia"/>
                <w:sz w:val="24"/>
                <w:szCs w:val="24"/>
              </w:rPr>
              <w:t>0.002</w:t>
            </w:r>
          </w:p>
        </w:tc>
        <w:tc>
          <w:tcPr>
            <w:tcW w:w="1559" w:type="dxa"/>
            <w:noWrap/>
            <w:hideMark/>
          </w:tcPr>
          <w:p w14:paraId="797899BB" w14:textId="77777777" w:rsidR="00EB6E97" w:rsidRPr="001D0CF3" w:rsidRDefault="00EB6E97" w:rsidP="00EB6E97">
            <w:pPr>
              <w:jc w:val="both"/>
              <w:rPr>
                <w:rFonts w:eastAsiaTheme="minorEastAsia"/>
                <w:sz w:val="24"/>
                <w:szCs w:val="24"/>
              </w:rPr>
            </w:pPr>
            <w:r w:rsidRPr="001D0CF3">
              <w:rPr>
                <w:rFonts w:eastAsiaTheme="minorEastAsia"/>
                <w:sz w:val="24"/>
                <w:szCs w:val="24"/>
              </w:rPr>
              <w:t>0.000374</w:t>
            </w:r>
          </w:p>
        </w:tc>
        <w:tc>
          <w:tcPr>
            <w:tcW w:w="1614" w:type="dxa"/>
            <w:noWrap/>
            <w:hideMark/>
          </w:tcPr>
          <w:p w14:paraId="22AEA195" w14:textId="77777777" w:rsidR="00EB6E97" w:rsidRPr="001D0CF3" w:rsidRDefault="00EB6E97" w:rsidP="00EB6E97">
            <w:pPr>
              <w:jc w:val="both"/>
              <w:rPr>
                <w:rFonts w:eastAsiaTheme="minorEastAsia"/>
                <w:sz w:val="24"/>
                <w:szCs w:val="24"/>
              </w:rPr>
            </w:pPr>
            <w:r w:rsidRPr="001D0CF3">
              <w:rPr>
                <w:rFonts w:eastAsiaTheme="minorEastAsia"/>
                <w:sz w:val="24"/>
                <w:szCs w:val="24"/>
              </w:rPr>
              <w:t>0.001249</w:t>
            </w:r>
          </w:p>
        </w:tc>
      </w:tr>
      <w:tr w:rsidR="00F83487" w:rsidRPr="001D0CF3" w14:paraId="0C7B6D99" w14:textId="77777777" w:rsidTr="00F83487">
        <w:trPr>
          <w:trHeight w:val="287"/>
        </w:trPr>
        <w:tc>
          <w:tcPr>
            <w:tcW w:w="1555" w:type="dxa"/>
            <w:noWrap/>
            <w:hideMark/>
          </w:tcPr>
          <w:p w14:paraId="733CA4D2" w14:textId="10B463E2" w:rsidR="001D0CF3" w:rsidRPr="00B37F47" w:rsidRDefault="00B37F47" w:rsidP="001D0CF3">
            <w:pPr>
              <w:jc w:val="both"/>
              <w:rPr>
                <w:rFonts w:eastAsiaTheme="minorEastAsia"/>
                <w:b/>
                <w:sz w:val="24"/>
                <w:szCs w:val="24"/>
              </w:rPr>
            </w:pPr>
            <m:oMath>
              <m:r>
                <m:rPr>
                  <m:sty m:val="bi"/>
                </m:rPr>
                <w:rPr>
                  <w:rFonts w:ascii="Cambria Math" w:eastAsia="Times New Roman" w:hAnsi="Cambria Math" w:cs="Calibri"/>
                  <w:color w:val="000000"/>
                </w:rPr>
                <m:t>∆</m:t>
              </m:r>
            </m:oMath>
            <w:r w:rsidRPr="00B37F47">
              <w:rPr>
                <w:rFonts w:ascii="Calibri" w:eastAsia="Times New Roman" w:hAnsi="Calibri" w:cs="Calibri"/>
                <w:b/>
                <w:color w:val="000000"/>
                <w:lang w:val="es-CL" w:eastAsia="es-CL"/>
              </w:rPr>
              <w:t>TPM</w:t>
            </w:r>
          </w:p>
        </w:tc>
        <w:tc>
          <w:tcPr>
            <w:tcW w:w="1417" w:type="dxa"/>
            <w:noWrap/>
            <w:hideMark/>
          </w:tcPr>
          <w:p w14:paraId="788BF69C" w14:textId="77777777" w:rsidR="001D0CF3" w:rsidRPr="001D0CF3" w:rsidRDefault="001D0CF3" w:rsidP="001D0CF3">
            <w:pPr>
              <w:jc w:val="both"/>
              <w:rPr>
                <w:rFonts w:eastAsiaTheme="minorEastAsia"/>
                <w:sz w:val="24"/>
                <w:szCs w:val="24"/>
              </w:rPr>
            </w:pPr>
            <w:r w:rsidRPr="001D0CF3">
              <w:rPr>
                <w:rFonts w:eastAsiaTheme="minorEastAsia"/>
                <w:sz w:val="24"/>
                <w:szCs w:val="24"/>
              </w:rPr>
              <w:t> </w:t>
            </w:r>
          </w:p>
        </w:tc>
        <w:tc>
          <w:tcPr>
            <w:tcW w:w="1276" w:type="dxa"/>
            <w:noWrap/>
            <w:hideMark/>
          </w:tcPr>
          <w:p w14:paraId="2C80B549" w14:textId="77777777" w:rsidR="001D0CF3" w:rsidRPr="001D0CF3" w:rsidRDefault="001D0CF3" w:rsidP="001D0CF3">
            <w:pPr>
              <w:jc w:val="both"/>
              <w:rPr>
                <w:rFonts w:eastAsiaTheme="minorEastAsia"/>
                <w:sz w:val="24"/>
                <w:szCs w:val="24"/>
              </w:rPr>
            </w:pPr>
            <w:r w:rsidRPr="001D0CF3">
              <w:rPr>
                <w:rFonts w:eastAsiaTheme="minorEastAsia"/>
                <w:sz w:val="24"/>
                <w:szCs w:val="24"/>
              </w:rPr>
              <w:t> </w:t>
            </w:r>
          </w:p>
        </w:tc>
        <w:tc>
          <w:tcPr>
            <w:tcW w:w="850" w:type="dxa"/>
            <w:noWrap/>
            <w:hideMark/>
          </w:tcPr>
          <w:p w14:paraId="60B779AC" w14:textId="77777777" w:rsidR="001D0CF3" w:rsidRPr="001D0CF3" w:rsidRDefault="001D0CF3" w:rsidP="001D0CF3">
            <w:pPr>
              <w:jc w:val="both"/>
              <w:rPr>
                <w:rFonts w:eastAsiaTheme="minorEastAsia"/>
                <w:sz w:val="24"/>
                <w:szCs w:val="24"/>
              </w:rPr>
            </w:pPr>
            <w:r w:rsidRPr="001D0CF3">
              <w:rPr>
                <w:rFonts w:eastAsiaTheme="minorEastAsia"/>
                <w:sz w:val="24"/>
                <w:szCs w:val="24"/>
              </w:rPr>
              <w:t> </w:t>
            </w:r>
          </w:p>
        </w:tc>
        <w:tc>
          <w:tcPr>
            <w:tcW w:w="993" w:type="dxa"/>
            <w:noWrap/>
            <w:hideMark/>
          </w:tcPr>
          <w:p w14:paraId="79C3B89D" w14:textId="77777777" w:rsidR="001D0CF3" w:rsidRPr="001D0CF3" w:rsidRDefault="001D0CF3" w:rsidP="001D0CF3">
            <w:pPr>
              <w:jc w:val="both"/>
              <w:rPr>
                <w:rFonts w:eastAsiaTheme="minorEastAsia"/>
                <w:sz w:val="24"/>
                <w:szCs w:val="24"/>
              </w:rPr>
            </w:pPr>
            <w:r w:rsidRPr="001D0CF3">
              <w:rPr>
                <w:rFonts w:eastAsiaTheme="minorEastAsia"/>
                <w:sz w:val="24"/>
                <w:szCs w:val="24"/>
              </w:rPr>
              <w:t> </w:t>
            </w:r>
          </w:p>
        </w:tc>
        <w:tc>
          <w:tcPr>
            <w:tcW w:w="1559" w:type="dxa"/>
            <w:noWrap/>
            <w:hideMark/>
          </w:tcPr>
          <w:p w14:paraId="648E45E9" w14:textId="77777777" w:rsidR="001D0CF3" w:rsidRPr="001D0CF3" w:rsidRDefault="001D0CF3" w:rsidP="001D0CF3">
            <w:pPr>
              <w:jc w:val="both"/>
              <w:rPr>
                <w:rFonts w:eastAsiaTheme="minorEastAsia"/>
                <w:sz w:val="24"/>
                <w:szCs w:val="24"/>
              </w:rPr>
            </w:pPr>
            <w:r w:rsidRPr="001D0CF3">
              <w:rPr>
                <w:rFonts w:eastAsiaTheme="minorEastAsia"/>
                <w:sz w:val="24"/>
                <w:szCs w:val="24"/>
              </w:rPr>
              <w:t> </w:t>
            </w:r>
          </w:p>
        </w:tc>
        <w:tc>
          <w:tcPr>
            <w:tcW w:w="1614" w:type="dxa"/>
            <w:noWrap/>
            <w:hideMark/>
          </w:tcPr>
          <w:p w14:paraId="411CE49F" w14:textId="77777777" w:rsidR="001D0CF3" w:rsidRPr="001D0CF3" w:rsidRDefault="001D0CF3" w:rsidP="001D0CF3">
            <w:pPr>
              <w:jc w:val="both"/>
              <w:rPr>
                <w:rFonts w:eastAsiaTheme="minorEastAsia"/>
                <w:sz w:val="24"/>
                <w:szCs w:val="24"/>
              </w:rPr>
            </w:pPr>
            <w:r w:rsidRPr="001D0CF3">
              <w:rPr>
                <w:rFonts w:eastAsiaTheme="minorEastAsia"/>
                <w:sz w:val="24"/>
                <w:szCs w:val="24"/>
              </w:rPr>
              <w:t> </w:t>
            </w:r>
          </w:p>
        </w:tc>
      </w:tr>
      <w:tr w:rsidR="00F83487" w:rsidRPr="001D0CF3" w14:paraId="4E083E78" w14:textId="77777777" w:rsidTr="00F83487">
        <w:trPr>
          <w:trHeight w:val="287"/>
        </w:trPr>
        <w:tc>
          <w:tcPr>
            <w:tcW w:w="1555" w:type="dxa"/>
            <w:noWrap/>
            <w:vAlign w:val="bottom"/>
            <w:hideMark/>
          </w:tcPr>
          <w:p w14:paraId="76284525" w14:textId="31E8CEF6" w:rsidR="000F6315" w:rsidRPr="001D0CF3" w:rsidRDefault="000F6315" w:rsidP="000F6315">
            <w:pPr>
              <w:jc w:val="both"/>
              <w:rPr>
                <w:rFonts w:eastAsiaTheme="minorEastAsia"/>
                <w:sz w:val="24"/>
                <w:szCs w:val="24"/>
              </w:rPr>
            </w:pPr>
            <m:oMath>
              <m:r>
                <w:rPr>
                  <w:rFonts w:ascii="Cambria Math" w:eastAsia="Times New Roman" w:hAnsi="Cambria Math" w:cs="Calibri"/>
                  <w:color w:val="000000"/>
                </w:rPr>
                <m:t>∆E</m:t>
              </m:r>
            </m:oMath>
            <w:r w:rsidRPr="00B33637">
              <w:rPr>
                <w:rFonts w:ascii="Calibri" w:eastAsia="Times New Roman" w:hAnsi="Calibri" w:cs="Calibri"/>
                <w:color w:val="000000"/>
                <w:lang w:val="es-CL" w:eastAsia="es-CL"/>
              </w:rPr>
              <w:t xml:space="preserve"> </w:t>
            </w:r>
            <m:oMath>
              <m:sSub>
                <m:sSubPr>
                  <m:ctrlPr>
                    <w:rPr>
                      <w:rFonts w:ascii="Cambria Math" w:eastAsia="Times New Roman" w:hAnsi="Cambria Math" w:cs="Calibri"/>
                      <w:i/>
                      <w:color w:val="000000"/>
                      <w:lang w:val="es-CL" w:eastAsia="es-CL"/>
                    </w:rPr>
                  </m:ctrlPr>
                </m:sSubPr>
                <m:e>
                  <m:r>
                    <w:rPr>
                      <w:rFonts w:ascii="Cambria Math" w:eastAsia="Times New Roman" w:hAnsi="Cambria Math" w:cs="Calibri"/>
                      <w:color w:val="000000"/>
                      <w:lang w:val="es-CL" w:eastAsia="es-CL"/>
                    </w:rPr>
                    <m:t>L</m:t>
                  </m:r>
                </m:e>
                <m:sub>
                  <m:r>
                    <w:rPr>
                      <w:rFonts w:ascii="Cambria Math" w:eastAsia="Times New Roman" w:hAnsi="Cambria Math" w:cs="Calibri"/>
                      <w:color w:val="000000"/>
                      <w:lang w:val="es-CL" w:eastAsia="es-CL"/>
                    </w:rPr>
                    <m:t>1</m:t>
                  </m:r>
                </m:sub>
              </m:sSub>
            </m:oMath>
          </w:p>
        </w:tc>
        <w:tc>
          <w:tcPr>
            <w:tcW w:w="1417" w:type="dxa"/>
            <w:noWrap/>
            <w:hideMark/>
          </w:tcPr>
          <w:p w14:paraId="01F18FFC" w14:textId="77777777" w:rsidR="000F6315" w:rsidRPr="001D0CF3" w:rsidRDefault="000F6315" w:rsidP="000F6315">
            <w:pPr>
              <w:jc w:val="both"/>
              <w:rPr>
                <w:rFonts w:eastAsiaTheme="minorEastAsia"/>
                <w:sz w:val="24"/>
                <w:szCs w:val="24"/>
              </w:rPr>
            </w:pPr>
            <w:r w:rsidRPr="001D0CF3">
              <w:rPr>
                <w:rFonts w:eastAsiaTheme="minorEastAsia"/>
                <w:sz w:val="24"/>
                <w:szCs w:val="24"/>
              </w:rPr>
              <w:t>0.5670869</w:t>
            </w:r>
          </w:p>
        </w:tc>
        <w:tc>
          <w:tcPr>
            <w:tcW w:w="1276" w:type="dxa"/>
            <w:noWrap/>
            <w:hideMark/>
          </w:tcPr>
          <w:p w14:paraId="2B2D6D9F" w14:textId="77777777" w:rsidR="000F6315" w:rsidRPr="001D0CF3" w:rsidRDefault="000F6315" w:rsidP="000F6315">
            <w:pPr>
              <w:jc w:val="both"/>
              <w:rPr>
                <w:rFonts w:eastAsiaTheme="minorEastAsia"/>
                <w:sz w:val="24"/>
                <w:szCs w:val="24"/>
              </w:rPr>
            </w:pPr>
            <w:r w:rsidRPr="001D0CF3">
              <w:rPr>
                <w:rFonts w:eastAsiaTheme="minorEastAsia"/>
                <w:sz w:val="24"/>
                <w:szCs w:val="24"/>
              </w:rPr>
              <w:t>0.262242</w:t>
            </w:r>
          </w:p>
        </w:tc>
        <w:tc>
          <w:tcPr>
            <w:tcW w:w="850" w:type="dxa"/>
            <w:noWrap/>
            <w:hideMark/>
          </w:tcPr>
          <w:p w14:paraId="08D333A6" w14:textId="77777777" w:rsidR="000F6315" w:rsidRPr="001D0CF3" w:rsidRDefault="000F6315" w:rsidP="000F6315">
            <w:pPr>
              <w:jc w:val="both"/>
              <w:rPr>
                <w:rFonts w:eastAsiaTheme="minorEastAsia"/>
                <w:sz w:val="24"/>
                <w:szCs w:val="24"/>
              </w:rPr>
            </w:pPr>
            <w:r w:rsidRPr="001D0CF3">
              <w:rPr>
                <w:rFonts w:eastAsiaTheme="minorEastAsia"/>
                <w:sz w:val="24"/>
                <w:szCs w:val="24"/>
              </w:rPr>
              <w:t>2.16</w:t>
            </w:r>
          </w:p>
        </w:tc>
        <w:tc>
          <w:tcPr>
            <w:tcW w:w="993" w:type="dxa"/>
            <w:noWrap/>
            <w:hideMark/>
          </w:tcPr>
          <w:p w14:paraId="29712B57" w14:textId="77777777" w:rsidR="000F6315" w:rsidRPr="001D0CF3" w:rsidRDefault="000F6315" w:rsidP="000F6315">
            <w:pPr>
              <w:jc w:val="both"/>
              <w:rPr>
                <w:rFonts w:eastAsiaTheme="minorEastAsia"/>
                <w:sz w:val="24"/>
                <w:szCs w:val="24"/>
              </w:rPr>
            </w:pPr>
            <w:r w:rsidRPr="001D0CF3">
              <w:rPr>
                <w:rFonts w:eastAsiaTheme="minorEastAsia"/>
                <w:sz w:val="24"/>
                <w:szCs w:val="24"/>
              </w:rPr>
              <w:t>0.031</w:t>
            </w:r>
          </w:p>
        </w:tc>
        <w:tc>
          <w:tcPr>
            <w:tcW w:w="1559" w:type="dxa"/>
            <w:noWrap/>
            <w:hideMark/>
          </w:tcPr>
          <w:p w14:paraId="75987FBE" w14:textId="77777777" w:rsidR="000F6315" w:rsidRPr="001D0CF3" w:rsidRDefault="000F6315" w:rsidP="000F6315">
            <w:pPr>
              <w:jc w:val="both"/>
              <w:rPr>
                <w:rFonts w:eastAsiaTheme="minorEastAsia"/>
                <w:sz w:val="24"/>
                <w:szCs w:val="24"/>
              </w:rPr>
            </w:pPr>
            <w:r w:rsidRPr="001D0CF3">
              <w:rPr>
                <w:rFonts w:eastAsiaTheme="minorEastAsia"/>
                <w:sz w:val="24"/>
                <w:szCs w:val="24"/>
              </w:rPr>
              <w:t>0.135737</w:t>
            </w:r>
          </w:p>
        </w:tc>
        <w:tc>
          <w:tcPr>
            <w:tcW w:w="1614" w:type="dxa"/>
            <w:noWrap/>
            <w:hideMark/>
          </w:tcPr>
          <w:p w14:paraId="7669A5BD" w14:textId="77777777" w:rsidR="000F6315" w:rsidRPr="001D0CF3" w:rsidRDefault="000F6315" w:rsidP="000F6315">
            <w:pPr>
              <w:jc w:val="both"/>
              <w:rPr>
                <w:rFonts w:eastAsiaTheme="minorEastAsia"/>
                <w:sz w:val="24"/>
                <w:szCs w:val="24"/>
              </w:rPr>
            </w:pPr>
            <w:r w:rsidRPr="001D0CF3">
              <w:rPr>
                <w:rFonts w:eastAsiaTheme="minorEastAsia"/>
                <w:sz w:val="24"/>
                <w:szCs w:val="24"/>
              </w:rPr>
              <w:t>0.998437</w:t>
            </w:r>
          </w:p>
        </w:tc>
      </w:tr>
      <w:tr w:rsidR="00F83487" w:rsidRPr="001D0CF3" w14:paraId="348A5FC9" w14:textId="77777777" w:rsidTr="00F83487">
        <w:trPr>
          <w:trHeight w:val="287"/>
        </w:trPr>
        <w:tc>
          <w:tcPr>
            <w:tcW w:w="1555" w:type="dxa"/>
            <w:noWrap/>
            <w:vAlign w:val="bottom"/>
            <w:hideMark/>
          </w:tcPr>
          <w:p w14:paraId="2D515058" w14:textId="1D53B144" w:rsidR="000F6315" w:rsidRPr="001D0CF3" w:rsidRDefault="000F6315" w:rsidP="000F6315">
            <w:pPr>
              <w:jc w:val="both"/>
              <w:rPr>
                <w:rFonts w:eastAsiaTheme="minorEastAsia"/>
                <w:sz w:val="24"/>
                <w:szCs w:val="24"/>
              </w:rPr>
            </w:pPr>
            <w:r w:rsidRPr="00B33637">
              <w:rPr>
                <w:rFonts w:ascii="Calibri" w:eastAsia="Times New Roman" w:hAnsi="Calibri" w:cs="Calibri"/>
                <w:color w:val="000000"/>
                <w:lang w:val="es-CL" w:eastAsia="es-CL"/>
              </w:rPr>
              <w:t>Chile</w:t>
            </w:r>
            <w:r>
              <w:rPr>
                <w:rFonts w:ascii="Calibri" w:eastAsia="Times New Roman" w:hAnsi="Calibri" w:cs="Calibri"/>
                <w:color w:val="000000"/>
                <w:lang w:val="es-CL" w:eastAsia="es-CL"/>
              </w:rPr>
              <w:t xml:space="preserve"> </w:t>
            </w:r>
            <w:r w:rsidRPr="00B33637">
              <w:rPr>
                <w:rFonts w:ascii="Calibri" w:eastAsia="Times New Roman" w:hAnsi="Calibri" w:cs="Calibri"/>
                <w:color w:val="000000"/>
                <w:lang w:val="es-CL" w:eastAsia="es-CL"/>
              </w:rPr>
              <w:t xml:space="preserve">Inf. </w:t>
            </w:r>
            <m:oMath>
              <m:sSub>
                <m:sSubPr>
                  <m:ctrlPr>
                    <w:rPr>
                      <w:rFonts w:ascii="Cambria Math" w:eastAsia="Times New Roman" w:hAnsi="Cambria Math" w:cs="Calibri"/>
                      <w:i/>
                      <w:color w:val="000000"/>
                      <w:lang w:val="es-CL" w:eastAsia="es-CL"/>
                    </w:rPr>
                  </m:ctrlPr>
                </m:sSubPr>
                <m:e>
                  <m:r>
                    <w:rPr>
                      <w:rFonts w:ascii="Cambria Math" w:eastAsia="Times New Roman" w:hAnsi="Cambria Math" w:cs="Calibri"/>
                      <w:color w:val="000000"/>
                      <w:lang w:val="es-CL" w:eastAsia="es-CL"/>
                    </w:rPr>
                    <m:t>L</m:t>
                  </m:r>
                </m:e>
                <m:sub>
                  <m:r>
                    <w:rPr>
                      <w:rFonts w:ascii="Cambria Math" w:eastAsia="Times New Roman" w:hAnsi="Cambria Math" w:cs="Calibri"/>
                      <w:color w:val="000000"/>
                      <w:lang w:val="es-CL" w:eastAsia="es-CL"/>
                    </w:rPr>
                    <m:t>1</m:t>
                  </m:r>
                </m:sub>
              </m:sSub>
            </m:oMath>
          </w:p>
        </w:tc>
        <w:tc>
          <w:tcPr>
            <w:tcW w:w="1417" w:type="dxa"/>
            <w:noWrap/>
            <w:hideMark/>
          </w:tcPr>
          <w:p w14:paraId="23841623" w14:textId="77777777" w:rsidR="000F6315" w:rsidRPr="001D0CF3" w:rsidRDefault="000F6315" w:rsidP="000F6315">
            <w:pPr>
              <w:jc w:val="both"/>
              <w:rPr>
                <w:rFonts w:eastAsiaTheme="minorEastAsia"/>
                <w:sz w:val="24"/>
                <w:szCs w:val="24"/>
              </w:rPr>
            </w:pPr>
            <w:r w:rsidRPr="001D0CF3">
              <w:rPr>
                <w:rFonts w:eastAsiaTheme="minorEastAsia"/>
                <w:sz w:val="24"/>
                <w:szCs w:val="24"/>
              </w:rPr>
              <w:t>-0.6430093</w:t>
            </w:r>
          </w:p>
        </w:tc>
        <w:tc>
          <w:tcPr>
            <w:tcW w:w="1276" w:type="dxa"/>
            <w:noWrap/>
            <w:hideMark/>
          </w:tcPr>
          <w:p w14:paraId="1D521236" w14:textId="77777777" w:rsidR="000F6315" w:rsidRPr="001D0CF3" w:rsidRDefault="000F6315" w:rsidP="000F6315">
            <w:pPr>
              <w:jc w:val="both"/>
              <w:rPr>
                <w:rFonts w:eastAsiaTheme="minorEastAsia"/>
                <w:sz w:val="24"/>
                <w:szCs w:val="24"/>
              </w:rPr>
            </w:pPr>
            <w:r w:rsidRPr="001D0CF3">
              <w:rPr>
                <w:rFonts w:eastAsiaTheme="minorEastAsia"/>
                <w:sz w:val="24"/>
                <w:szCs w:val="24"/>
              </w:rPr>
              <w:t>1.80364</w:t>
            </w:r>
          </w:p>
        </w:tc>
        <w:tc>
          <w:tcPr>
            <w:tcW w:w="850" w:type="dxa"/>
            <w:noWrap/>
            <w:hideMark/>
          </w:tcPr>
          <w:p w14:paraId="70915EC2" w14:textId="77777777" w:rsidR="000F6315" w:rsidRPr="001D0CF3" w:rsidRDefault="000F6315" w:rsidP="000F6315">
            <w:pPr>
              <w:jc w:val="both"/>
              <w:rPr>
                <w:rFonts w:eastAsiaTheme="minorEastAsia"/>
                <w:sz w:val="24"/>
                <w:szCs w:val="24"/>
              </w:rPr>
            </w:pPr>
            <w:r w:rsidRPr="001D0CF3">
              <w:rPr>
                <w:rFonts w:eastAsiaTheme="minorEastAsia"/>
                <w:sz w:val="24"/>
                <w:szCs w:val="24"/>
              </w:rPr>
              <w:t>-0.36</w:t>
            </w:r>
          </w:p>
        </w:tc>
        <w:tc>
          <w:tcPr>
            <w:tcW w:w="993" w:type="dxa"/>
            <w:noWrap/>
            <w:hideMark/>
          </w:tcPr>
          <w:p w14:paraId="13ED1AB6" w14:textId="77777777" w:rsidR="000F6315" w:rsidRPr="001D0CF3" w:rsidRDefault="000F6315" w:rsidP="000F6315">
            <w:pPr>
              <w:jc w:val="both"/>
              <w:rPr>
                <w:rFonts w:eastAsiaTheme="minorEastAsia"/>
                <w:sz w:val="24"/>
                <w:szCs w:val="24"/>
              </w:rPr>
            </w:pPr>
            <w:r w:rsidRPr="001D0CF3">
              <w:rPr>
                <w:rFonts w:eastAsiaTheme="minorEastAsia"/>
                <w:sz w:val="24"/>
                <w:szCs w:val="24"/>
              </w:rPr>
              <w:t>0.721</w:t>
            </w:r>
          </w:p>
        </w:tc>
        <w:tc>
          <w:tcPr>
            <w:tcW w:w="1559" w:type="dxa"/>
            <w:noWrap/>
            <w:hideMark/>
          </w:tcPr>
          <w:p w14:paraId="0A2670B1" w14:textId="77777777" w:rsidR="000F6315" w:rsidRPr="001D0CF3" w:rsidRDefault="000F6315" w:rsidP="000F6315">
            <w:pPr>
              <w:jc w:val="both"/>
              <w:rPr>
                <w:rFonts w:eastAsiaTheme="minorEastAsia"/>
                <w:sz w:val="24"/>
                <w:szCs w:val="24"/>
              </w:rPr>
            </w:pPr>
            <w:r w:rsidRPr="001D0CF3">
              <w:rPr>
                <w:rFonts w:eastAsiaTheme="minorEastAsia"/>
                <w:sz w:val="24"/>
                <w:szCs w:val="24"/>
              </w:rPr>
              <w:t>-3.60973</w:t>
            </w:r>
          </w:p>
        </w:tc>
        <w:tc>
          <w:tcPr>
            <w:tcW w:w="1614" w:type="dxa"/>
            <w:noWrap/>
            <w:hideMark/>
          </w:tcPr>
          <w:p w14:paraId="7FBDEF18" w14:textId="77777777" w:rsidR="000F6315" w:rsidRPr="001D0CF3" w:rsidRDefault="000F6315" w:rsidP="000F6315">
            <w:pPr>
              <w:jc w:val="both"/>
              <w:rPr>
                <w:rFonts w:eastAsiaTheme="minorEastAsia"/>
                <w:sz w:val="24"/>
                <w:szCs w:val="24"/>
              </w:rPr>
            </w:pPr>
            <w:r w:rsidRPr="001D0CF3">
              <w:rPr>
                <w:rFonts w:eastAsiaTheme="minorEastAsia"/>
                <w:sz w:val="24"/>
                <w:szCs w:val="24"/>
              </w:rPr>
              <w:t>2.323715</w:t>
            </w:r>
          </w:p>
        </w:tc>
      </w:tr>
      <w:tr w:rsidR="00F83487" w:rsidRPr="001D0CF3" w14:paraId="3D7A0586" w14:textId="77777777" w:rsidTr="00F83487">
        <w:trPr>
          <w:trHeight w:val="287"/>
        </w:trPr>
        <w:tc>
          <w:tcPr>
            <w:tcW w:w="1555" w:type="dxa"/>
            <w:noWrap/>
            <w:vAlign w:val="bottom"/>
            <w:hideMark/>
          </w:tcPr>
          <w:p w14:paraId="3B89636F" w14:textId="3BB8B42E" w:rsidR="000F6315" w:rsidRPr="001D0CF3" w:rsidRDefault="000F6315" w:rsidP="000F6315">
            <w:pPr>
              <w:jc w:val="both"/>
              <w:rPr>
                <w:rFonts w:eastAsiaTheme="minorEastAsia"/>
                <w:sz w:val="24"/>
                <w:szCs w:val="24"/>
              </w:rPr>
            </w:pPr>
            <m:oMath>
              <m:r>
                <m:rPr>
                  <m:sty m:val="bi"/>
                </m:rPr>
                <w:rPr>
                  <w:rFonts w:ascii="Cambria Math" w:eastAsia="Times New Roman" w:hAnsi="Cambria Math" w:cs="Calibri"/>
                  <w:color w:val="000000"/>
                </w:rPr>
                <m:t>∆</m:t>
              </m:r>
            </m:oMath>
            <w:r w:rsidRPr="00B33637">
              <w:rPr>
                <w:rFonts w:ascii="Calibri" w:eastAsia="Times New Roman" w:hAnsi="Calibri" w:cs="Calibri"/>
                <w:color w:val="000000"/>
                <w:lang w:val="es-CL" w:eastAsia="es-CL"/>
              </w:rPr>
              <w:t>T</w:t>
            </w:r>
            <w:r>
              <w:rPr>
                <w:rFonts w:ascii="Calibri" w:eastAsia="Times New Roman" w:hAnsi="Calibri" w:cs="Calibri"/>
                <w:color w:val="000000"/>
                <w:lang w:val="es-CL" w:eastAsia="es-CL"/>
              </w:rPr>
              <w:t xml:space="preserve">PM </w:t>
            </w:r>
            <m:oMath>
              <m:sSub>
                <m:sSubPr>
                  <m:ctrlPr>
                    <w:rPr>
                      <w:rFonts w:ascii="Cambria Math" w:eastAsia="Times New Roman" w:hAnsi="Cambria Math" w:cs="Calibri"/>
                      <w:i/>
                      <w:color w:val="000000"/>
                      <w:lang w:val="es-CL" w:eastAsia="es-CL"/>
                    </w:rPr>
                  </m:ctrlPr>
                </m:sSubPr>
                <m:e>
                  <m:r>
                    <w:rPr>
                      <w:rFonts w:ascii="Cambria Math" w:eastAsia="Times New Roman" w:hAnsi="Cambria Math" w:cs="Calibri"/>
                      <w:color w:val="000000"/>
                      <w:lang w:val="es-CL" w:eastAsia="es-CL"/>
                    </w:rPr>
                    <m:t>L</m:t>
                  </m:r>
                </m:e>
                <m:sub>
                  <m:r>
                    <w:rPr>
                      <w:rFonts w:ascii="Cambria Math" w:eastAsia="Times New Roman" w:hAnsi="Cambria Math" w:cs="Calibri"/>
                      <w:color w:val="000000"/>
                      <w:lang w:val="es-CL" w:eastAsia="es-CL"/>
                    </w:rPr>
                    <m:t>1</m:t>
                  </m:r>
                </m:sub>
              </m:sSub>
            </m:oMath>
          </w:p>
        </w:tc>
        <w:tc>
          <w:tcPr>
            <w:tcW w:w="1417" w:type="dxa"/>
            <w:noWrap/>
            <w:hideMark/>
          </w:tcPr>
          <w:p w14:paraId="20B862C2" w14:textId="77777777" w:rsidR="000F6315" w:rsidRPr="001D0CF3" w:rsidRDefault="000F6315" w:rsidP="000F6315">
            <w:pPr>
              <w:jc w:val="both"/>
              <w:rPr>
                <w:rFonts w:eastAsiaTheme="minorEastAsia"/>
                <w:sz w:val="24"/>
                <w:szCs w:val="24"/>
              </w:rPr>
            </w:pPr>
            <w:r w:rsidRPr="001D0CF3">
              <w:rPr>
                <w:rFonts w:eastAsiaTheme="minorEastAsia"/>
                <w:sz w:val="24"/>
                <w:szCs w:val="24"/>
              </w:rPr>
              <w:t>0.6380204</w:t>
            </w:r>
          </w:p>
        </w:tc>
        <w:tc>
          <w:tcPr>
            <w:tcW w:w="1276" w:type="dxa"/>
            <w:noWrap/>
            <w:hideMark/>
          </w:tcPr>
          <w:p w14:paraId="5CB16040" w14:textId="77777777" w:rsidR="000F6315" w:rsidRPr="001D0CF3" w:rsidRDefault="000F6315" w:rsidP="000F6315">
            <w:pPr>
              <w:jc w:val="both"/>
              <w:rPr>
                <w:rFonts w:eastAsiaTheme="minorEastAsia"/>
                <w:sz w:val="24"/>
                <w:szCs w:val="24"/>
              </w:rPr>
            </w:pPr>
            <w:r w:rsidRPr="001D0CF3">
              <w:rPr>
                <w:rFonts w:eastAsiaTheme="minorEastAsia"/>
                <w:sz w:val="24"/>
                <w:szCs w:val="24"/>
              </w:rPr>
              <w:t>0.050599</w:t>
            </w:r>
          </w:p>
        </w:tc>
        <w:tc>
          <w:tcPr>
            <w:tcW w:w="850" w:type="dxa"/>
            <w:noWrap/>
            <w:hideMark/>
          </w:tcPr>
          <w:p w14:paraId="1BC664CC" w14:textId="77777777" w:rsidR="000F6315" w:rsidRPr="001D0CF3" w:rsidRDefault="000F6315" w:rsidP="000F6315">
            <w:pPr>
              <w:jc w:val="both"/>
              <w:rPr>
                <w:rFonts w:eastAsiaTheme="minorEastAsia"/>
                <w:sz w:val="24"/>
                <w:szCs w:val="24"/>
              </w:rPr>
            </w:pPr>
            <w:r w:rsidRPr="001D0CF3">
              <w:rPr>
                <w:rFonts w:eastAsiaTheme="minorEastAsia"/>
                <w:sz w:val="24"/>
                <w:szCs w:val="24"/>
              </w:rPr>
              <w:t>12.61</w:t>
            </w:r>
          </w:p>
        </w:tc>
        <w:tc>
          <w:tcPr>
            <w:tcW w:w="993" w:type="dxa"/>
            <w:noWrap/>
            <w:hideMark/>
          </w:tcPr>
          <w:p w14:paraId="2515AF04" w14:textId="77777777" w:rsidR="000F6315" w:rsidRPr="001D0CF3" w:rsidRDefault="000F6315" w:rsidP="000F6315">
            <w:pPr>
              <w:jc w:val="both"/>
              <w:rPr>
                <w:rFonts w:eastAsiaTheme="minorEastAsia"/>
                <w:sz w:val="24"/>
                <w:szCs w:val="24"/>
              </w:rPr>
            </w:pPr>
            <w:r w:rsidRPr="001D0CF3">
              <w:rPr>
                <w:rFonts w:eastAsiaTheme="minorEastAsia"/>
                <w:sz w:val="24"/>
                <w:szCs w:val="24"/>
              </w:rPr>
              <w:t>0</w:t>
            </w:r>
          </w:p>
        </w:tc>
        <w:tc>
          <w:tcPr>
            <w:tcW w:w="1559" w:type="dxa"/>
            <w:noWrap/>
            <w:hideMark/>
          </w:tcPr>
          <w:p w14:paraId="4BE7FC2D" w14:textId="77777777" w:rsidR="000F6315" w:rsidRPr="001D0CF3" w:rsidRDefault="000F6315" w:rsidP="000F6315">
            <w:pPr>
              <w:jc w:val="both"/>
              <w:rPr>
                <w:rFonts w:eastAsiaTheme="minorEastAsia"/>
                <w:sz w:val="24"/>
                <w:szCs w:val="24"/>
              </w:rPr>
            </w:pPr>
            <w:r w:rsidRPr="001D0CF3">
              <w:rPr>
                <w:rFonts w:eastAsiaTheme="minorEastAsia"/>
                <w:sz w:val="24"/>
                <w:szCs w:val="24"/>
              </w:rPr>
              <w:t>0.554792</w:t>
            </w:r>
          </w:p>
        </w:tc>
        <w:tc>
          <w:tcPr>
            <w:tcW w:w="1614" w:type="dxa"/>
            <w:noWrap/>
            <w:hideMark/>
          </w:tcPr>
          <w:p w14:paraId="1DC22E61" w14:textId="77777777" w:rsidR="000F6315" w:rsidRPr="001D0CF3" w:rsidRDefault="000F6315" w:rsidP="000F6315">
            <w:pPr>
              <w:jc w:val="both"/>
              <w:rPr>
                <w:rFonts w:eastAsiaTheme="minorEastAsia"/>
                <w:sz w:val="24"/>
                <w:szCs w:val="24"/>
              </w:rPr>
            </w:pPr>
            <w:r w:rsidRPr="001D0CF3">
              <w:rPr>
                <w:rFonts w:eastAsiaTheme="minorEastAsia"/>
                <w:sz w:val="24"/>
                <w:szCs w:val="24"/>
              </w:rPr>
              <w:t>0.721249</w:t>
            </w:r>
          </w:p>
        </w:tc>
      </w:tr>
      <w:tr w:rsidR="00F83487" w:rsidRPr="001D0CF3" w14:paraId="70DBF823" w14:textId="77777777" w:rsidTr="00F83487">
        <w:trPr>
          <w:trHeight w:val="287"/>
        </w:trPr>
        <w:tc>
          <w:tcPr>
            <w:tcW w:w="1555" w:type="dxa"/>
            <w:noWrap/>
            <w:hideMark/>
          </w:tcPr>
          <w:p w14:paraId="0D32A7B2" w14:textId="6B267B82" w:rsidR="000F6315" w:rsidRPr="001D0CF3" w:rsidRDefault="000F6315" w:rsidP="000F6315">
            <w:pPr>
              <w:jc w:val="both"/>
              <w:rPr>
                <w:rFonts w:eastAsiaTheme="minorEastAsia"/>
                <w:sz w:val="24"/>
                <w:szCs w:val="24"/>
              </w:rPr>
            </w:pPr>
            <w:r w:rsidRPr="001D0CF3">
              <w:rPr>
                <w:rFonts w:eastAsiaTheme="minorEastAsia"/>
                <w:sz w:val="24"/>
                <w:szCs w:val="24"/>
              </w:rPr>
              <w:t>US</w:t>
            </w:r>
            <w:r>
              <w:rPr>
                <w:rFonts w:eastAsiaTheme="minorEastAsia"/>
                <w:sz w:val="24"/>
                <w:szCs w:val="24"/>
              </w:rPr>
              <w:t xml:space="preserve"> Inf.</w:t>
            </w:r>
          </w:p>
        </w:tc>
        <w:tc>
          <w:tcPr>
            <w:tcW w:w="1417" w:type="dxa"/>
            <w:noWrap/>
            <w:hideMark/>
          </w:tcPr>
          <w:p w14:paraId="6B580C1D" w14:textId="77777777" w:rsidR="000F6315" w:rsidRPr="001D0CF3" w:rsidRDefault="000F6315" w:rsidP="000F6315">
            <w:pPr>
              <w:jc w:val="both"/>
              <w:rPr>
                <w:rFonts w:eastAsiaTheme="minorEastAsia"/>
                <w:sz w:val="24"/>
                <w:szCs w:val="24"/>
              </w:rPr>
            </w:pPr>
            <w:r w:rsidRPr="001D0CF3">
              <w:rPr>
                <w:rFonts w:eastAsiaTheme="minorEastAsia"/>
                <w:sz w:val="24"/>
                <w:szCs w:val="24"/>
              </w:rPr>
              <w:t>2.480006</w:t>
            </w:r>
          </w:p>
        </w:tc>
        <w:tc>
          <w:tcPr>
            <w:tcW w:w="1276" w:type="dxa"/>
            <w:noWrap/>
            <w:hideMark/>
          </w:tcPr>
          <w:p w14:paraId="2BD59412" w14:textId="77777777" w:rsidR="000F6315" w:rsidRPr="001D0CF3" w:rsidRDefault="000F6315" w:rsidP="000F6315">
            <w:pPr>
              <w:jc w:val="both"/>
              <w:rPr>
                <w:rFonts w:eastAsiaTheme="minorEastAsia"/>
                <w:sz w:val="24"/>
                <w:szCs w:val="24"/>
              </w:rPr>
            </w:pPr>
            <w:r w:rsidRPr="001D0CF3">
              <w:rPr>
                <w:rFonts w:eastAsiaTheme="minorEastAsia"/>
                <w:sz w:val="24"/>
                <w:szCs w:val="24"/>
              </w:rPr>
              <w:t>1.852495</w:t>
            </w:r>
          </w:p>
        </w:tc>
        <w:tc>
          <w:tcPr>
            <w:tcW w:w="850" w:type="dxa"/>
            <w:noWrap/>
            <w:hideMark/>
          </w:tcPr>
          <w:p w14:paraId="3B9E40CB" w14:textId="77777777" w:rsidR="000F6315" w:rsidRPr="001D0CF3" w:rsidRDefault="000F6315" w:rsidP="000F6315">
            <w:pPr>
              <w:jc w:val="both"/>
              <w:rPr>
                <w:rFonts w:eastAsiaTheme="minorEastAsia"/>
                <w:sz w:val="24"/>
                <w:szCs w:val="24"/>
              </w:rPr>
            </w:pPr>
            <w:r w:rsidRPr="001D0CF3">
              <w:rPr>
                <w:rFonts w:eastAsiaTheme="minorEastAsia"/>
                <w:sz w:val="24"/>
                <w:szCs w:val="24"/>
              </w:rPr>
              <w:t>1.34</w:t>
            </w:r>
          </w:p>
        </w:tc>
        <w:tc>
          <w:tcPr>
            <w:tcW w:w="993" w:type="dxa"/>
            <w:noWrap/>
            <w:hideMark/>
          </w:tcPr>
          <w:p w14:paraId="412885CF" w14:textId="77777777" w:rsidR="000F6315" w:rsidRPr="001D0CF3" w:rsidRDefault="000F6315" w:rsidP="000F6315">
            <w:pPr>
              <w:jc w:val="both"/>
              <w:rPr>
                <w:rFonts w:eastAsiaTheme="minorEastAsia"/>
                <w:sz w:val="24"/>
                <w:szCs w:val="24"/>
              </w:rPr>
            </w:pPr>
            <w:r w:rsidRPr="001D0CF3">
              <w:rPr>
                <w:rFonts w:eastAsiaTheme="minorEastAsia"/>
                <w:sz w:val="24"/>
                <w:szCs w:val="24"/>
              </w:rPr>
              <w:t>0.181</w:t>
            </w:r>
          </w:p>
        </w:tc>
        <w:tc>
          <w:tcPr>
            <w:tcW w:w="1559" w:type="dxa"/>
            <w:noWrap/>
            <w:hideMark/>
          </w:tcPr>
          <w:p w14:paraId="4AA23CC7" w14:textId="77777777" w:rsidR="000F6315" w:rsidRPr="001D0CF3" w:rsidRDefault="000F6315" w:rsidP="000F6315">
            <w:pPr>
              <w:jc w:val="both"/>
              <w:rPr>
                <w:rFonts w:eastAsiaTheme="minorEastAsia"/>
                <w:sz w:val="24"/>
                <w:szCs w:val="24"/>
              </w:rPr>
            </w:pPr>
            <w:r w:rsidRPr="001D0CF3">
              <w:rPr>
                <w:rFonts w:eastAsiaTheme="minorEastAsia"/>
                <w:sz w:val="24"/>
                <w:szCs w:val="24"/>
              </w:rPr>
              <w:t>-0.56708</w:t>
            </w:r>
          </w:p>
        </w:tc>
        <w:tc>
          <w:tcPr>
            <w:tcW w:w="1614" w:type="dxa"/>
            <w:noWrap/>
            <w:hideMark/>
          </w:tcPr>
          <w:p w14:paraId="4D026B52" w14:textId="77777777" w:rsidR="000F6315" w:rsidRPr="001D0CF3" w:rsidRDefault="000F6315" w:rsidP="000F6315">
            <w:pPr>
              <w:jc w:val="both"/>
              <w:rPr>
                <w:rFonts w:eastAsiaTheme="minorEastAsia"/>
                <w:sz w:val="24"/>
                <w:szCs w:val="24"/>
              </w:rPr>
            </w:pPr>
            <w:r w:rsidRPr="001D0CF3">
              <w:rPr>
                <w:rFonts w:eastAsiaTheme="minorEastAsia"/>
                <w:sz w:val="24"/>
                <w:szCs w:val="24"/>
              </w:rPr>
              <w:t>5.52709</w:t>
            </w:r>
          </w:p>
        </w:tc>
      </w:tr>
      <w:tr w:rsidR="00F83487" w:rsidRPr="001D0CF3" w14:paraId="16F5184B" w14:textId="77777777" w:rsidTr="00F83487">
        <w:trPr>
          <w:trHeight w:val="287"/>
        </w:trPr>
        <w:tc>
          <w:tcPr>
            <w:tcW w:w="1555" w:type="dxa"/>
            <w:noWrap/>
            <w:hideMark/>
          </w:tcPr>
          <w:p w14:paraId="41CB3E44" w14:textId="122CA972" w:rsidR="000F6315" w:rsidRPr="001D0CF3" w:rsidRDefault="000F6315" w:rsidP="000F6315">
            <w:pPr>
              <w:jc w:val="both"/>
              <w:rPr>
                <w:rFonts w:eastAsiaTheme="minorEastAsia"/>
                <w:sz w:val="24"/>
                <w:szCs w:val="24"/>
              </w:rPr>
            </w:pPr>
            <w:r w:rsidRPr="001D0CF3">
              <w:rPr>
                <w:rFonts w:eastAsiaTheme="minorEastAsia"/>
                <w:sz w:val="24"/>
                <w:szCs w:val="24"/>
              </w:rPr>
              <w:t>China</w:t>
            </w:r>
            <w:r>
              <w:rPr>
                <w:rFonts w:eastAsiaTheme="minorEastAsia"/>
                <w:sz w:val="24"/>
                <w:szCs w:val="24"/>
              </w:rPr>
              <w:t xml:space="preserve"> Inf.</w:t>
            </w:r>
          </w:p>
        </w:tc>
        <w:tc>
          <w:tcPr>
            <w:tcW w:w="1417" w:type="dxa"/>
            <w:noWrap/>
            <w:hideMark/>
          </w:tcPr>
          <w:p w14:paraId="2D2091BE" w14:textId="77777777" w:rsidR="000F6315" w:rsidRPr="001D0CF3" w:rsidRDefault="000F6315" w:rsidP="000F6315">
            <w:pPr>
              <w:jc w:val="both"/>
              <w:rPr>
                <w:rFonts w:eastAsiaTheme="minorEastAsia"/>
                <w:sz w:val="24"/>
                <w:szCs w:val="24"/>
              </w:rPr>
            </w:pPr>
            <w:r w:rsidRPr="001D0CF3">
              <w:rPr>
                <w:rFonts w:eastAsiaTheme="minorEastAsia"/>
                <w:sz w:val="24"/>
                <w:szCs w:val="24"/>
              </w:rPr>
              <w:t>0.2028631</w:t>
            </w:r>
          </w:p>
        </w:tc>
        <w:tc>
          <w:tcPr>
            <w:tcW w:w="1276" w:type="dxa"/>
            <w:noWrap/>
            <w:hideMark/>
          </w:tcPr>
          <w:p w14:paraId="5583F419" w14:textId="77777777" w:rsidR="000F6315" w:rsidRPr="001D0CF3" w:rsidRDefault="000F6315" w:rsidP="000F6315">
            <w:pPr>
              <w:jc w:val="both"/>
              <w:rPr>
                <w:rFonts w:eastAsiaTheme="minorEastAsia"/>
                <w:sz w:val="24"/>
                <w:szCs w:val="24"/>
              </w:rPr>
            </w:pPr>
            <w:r w:rsidRPr="001D0CF3">
              <w:rPr>
                <w:rFonts w:eastAsiaTheme="minorEastAsia"/>
                <w:sz w:val="24"/>
                <w:szCs w:val="24"/>
              </w:rPr>
              <w:t>1.078407</w:t>
            </w:r>
          </w:p>
        </w:tc>
        <w:tc>
          <w:tcPr>
            <w:tcW w:w="850" w:type="dxa"/>
            <w:noWrap/>
            <w:hideMark/>
          </w:tcPr>
          <w:p w14:paraId="42384743" w14:textId="77777777" w:rsidR="000F6315" w:rsidRPr="001D0CF3" w:rsidRDefault="000F6315" w:rsidP="000F6315">
            <w:pPr>
              <w:jc w:val="both"/>
              <w:rPr>
                <w:rFonts w:eastAsiaTheme="minorEastAsia"/>
                <w:sz w:val="24"/>
                <w:szCs w:val="24"/>
              </w:rPr>
            </w:pPr>
            <w:r w:rsidRPr="001D0CF3">
              <w:rPr>
                <w:rFonts w:eastAsiaTheme="minorEastAsia"/>
                <w:sz w:val="24"/>
                <w:szCs w:val="24"/>
              </w:rPr>
              <w:t>0.19</w:t>
            </w:r>
          </w:p>
        </w:tc>
        <w:tc>
          <w:tcPr>
            <w:tcW w:w="993" w:type="dxa"/>
            <w:noWrap/>
            <w:hideMark/>
          </w:tcPr>
          <w:p w14:paraId="0412A990" w14:textId="77777777" w:rsidR="000F6315" w:rsidRPr="001D0CF3" w:rsidRDefault="000F6315" w:rsidP="000F6315">
            <w:pPr>
              <w:jc w:val="both"/>
              <w:rPr>
                <w:rFonts w:eastAsiaTheme="minorEastAsia"/>
                <w:sz w:val="24"/>
                <w:szCs w:val="24"/>
              </w:rPr>
            </w:pPr>
            <w:r w:rsidRPr="001D0CF3">
              <w:rPr>
                <w:rFonts w:eastAsiaTheme="minorEastAsia"/>
                <w:sz w:val="24"/>
                <w:szCs w:val="24"/>
              </w:rPr>
              <w:t>0.851</w:t>
            </w:r>
          </w:p>
        </w:tc>
        <w:tc>
          <w:tcPr>
            <w:tcW w:w="1559" w:type="dxa"/>
            <w:noWrap/>
            <w:hideMark/>
          </w:tcPr>
          <w:p w14:paraId="5AFFB315" w14:textId="77777777" w:rsidR="000F6315" w:rsidRPr="001D0CF3" w:rsidRDefault="000F6315" w:rsidP="000F6315">
            <w:pPr>
              <w:jc w:val="both"/>
              <w:rPr>
                <w:rFonts w:eastAsiaTheme="minorEastAsia"/>
                <w:sz w:val="24"/>
                <w:szCs w:val="24"/>
              </w:rPr>
            </w:pPr>
            <w:r w:rsidRPr="001D0CF3">
              <w:rPr>
                <w:rFonts w:eastAsiaTheme="minorEastAsia"/>
                <w:sz w:val="24"/>
                <w:szCs w:val="24"/>
              </w:rPr>
              <w:t>-1.57096</w:t>
            </w:r>
          </w:p>
        </w:tc>
        <w:tc>
          <w:tcPr>
            <w:tcW w:w="1614" w:type="dxa"/>
            <w:noWrap/>
            <w:hideMark/>
          </w:tcPr>
          <w:p w14:paraId="1E860832" w14:textId="77777777" w:rsidR="000F6315" w:rsidRPr="001D0CF3" w:rsidRDefault="000F6315" w:rsidP="000F6315">
            <w:pPr>
              <w:jc w:val="both"/>
              <w:rPr>
                <w:rFonts w:eastAsiaTheme="minorEastAsia"/>
                <w:sz w:val="24"/>
                <w:szCs w:val="24"/>
              </w:rPr>
            </w:pPr>
            <w:r w:rsidRPr="001D0CF3">
              <w:rPr>
                <w:rFonts w:eastAsiaTheme="minorEastAsia"/>
                <w:sz w:val="24"/>
                <w:szCs w:val="24"/>
              </w:rPr>
              <w:t>1.976684</w:t>
            </w:r>
          </w:p>
        </w:tc>
      </w:tr>
      <w:tr w:rsidR="00F83487" w:rsidRPr="001D0CF3" w14:paraId="3B4E1C34" w14:textId="77777777" w:rsidTr="00F83487">
        <w:trPr>
          <w:trHeight w:val="287"/>
        </w:trPr>
        <w:tc>
          <w:tcPr>
            <w:tcW w:w="1555" w:type="dxa"/>
            <w:noWrap/>
            <w:hideMark/>
          </w:tcPr>
          <w:p w14:paraId="53B1BC94" w14:textId="358EF51D" w:rsidR="000F6315" w:rsidRPr="001D0CF3" w:rsidRDefault="000F6315" w:rsidP="000F6315">
            <w:pPr>
              <w:jc w:val="both"/>
              <w:rPr>
                <w:rFonts w:eastAsiaTheme="minorEastAsia"/>
                <w:sz w:val="24"/>
                <w:szCs w:val="24"/>
              </w:rPr>
            </w:pPr>
            <w:r w:rsidRPr="001D0CF3">
              <w:rPr>
                <w:rFonts w:eastAsiaTheme="minorEastAsia"/>
                <w:sz w:val="24"/>
                <w:szCs w:val="24"/>
              </w:rPr>
              <w:t>Eurozon</w:t>
            </w:r>
            <w:r>
              <w:rPr>
                <w:rFonts w:eastAsiaTheme="minorEastAsia"/>
                <w:sz w:val="24"/>
                <w:szCs w:val="24"/>
              </w:rPr>
              <w:t>e Inf.</w:t>
            </w:r>
          </w:p>
        </w:tc>
        <w:tc>
          <w:tcPr>
            <w:tcW w:w="1417" w:type="dxa"/>
            <w:noWrap/>
            <w:hideMark/>
          </w:tcPr>
          <w:p w14:paraId="649C509B" w14:textId="77777777" w:rsidR="000F6315" w:rsidRPr="001D0CF3" w:rsidRDefault="000F6315" w:rsidP="000F6315">
            <w:pPr>
              <w:jc w:val="both"/>
              <w:rPr>
                <w:rFonts w:eastAsiaTheme="minorEastAsia"/>
                <w:sz w:val="24"/>
                <w:szCs w:val="24"/>
              </w:rPr>
            </w:pPr>
            <w:r w:rsidRPr="001D0CF3">
              <w:rPr>
                <w:rFonts w:eastAsiaTheme="minorEastAsia"/>
                <w:sz w:val="24"/>
                <w:szCs w:val="24"/>
              </w:rPr>
              <w:t>-0.8832105</w:t>
            </w:r>
          </w:p>
        </w:tc>
        <w:tc>
          <w:tcPr>
            <w:tcW w:w="1276" w:type="dxa"/>
            <w:noWrap/>
            <w:hideMark/>
          </w:tcPr>
          <w:p w14:paraId="5BCD3827" w14:textId="77777777" w:rsidR="000F6315" w:rsidRPr="001D0CF3" w:rsidRDefault="000F6315" w:rsidP="000F6315">
            <w:pPr>
              <w:jc w:val="both"/>
              <w:rPr>
                <w:rFonts w:eastAsiaTheme="minorEastAsia"/>
                <w:sz w:val="24"/>
                <w:szCs w:val="24"/>
              </w:rPr>
            </w:pPr>
            <w:r w:rsidRPr="001D0CF3">
              <w:rPr>
                <w:rFonts w:eastAsiaTheme="minorEastAsia"/>
                <w:sz w:val="24"/>
                <w:szCs w:val="24"/>
              </w:rPr>
              <w:t>1.602662</w:t>
            </w:r>
          </w:p>
        </w:tc>
        <w:tc>
          <w:tcPr>
            <w:tcW w:w="850" w:type="dxa"/>
            <w:noWrap/>
            <w:hideMark/>
          </w:tcPr>
          <w:p w14:paraId="6AF014F2" w14:textId="77777777" w:rsidR="000F6315" w:rsidRPr="001D0CF3" w:rsidRDefault="000F6315" w:rsidP="000F6315">
            <w:pPr>
              <w:jc w:val="both"/>
              <w:rPr>
                <w:rFonts w:eastAsiaTheme="minorEastAsia"/>
                <w:sz w:val="24"/>
                <w:szCs w:val="24"/>
              </w:rPr>
            </w:pPr>
            <w:r w:rsidRPr="001D0CF3">
              <w:rPr>
                <w:rFonts w:eastAsiaTheme="minorEastAsia"/>
                <w:sz w:val="24"/>
                <w:szCs w:val="24"/>
              </w:rPr>
              <w:t>-0.55</w:t>
            </w:r>
          </w:p>
        </w:tc>
        <w:tc>
          <w:tcPr>
            <w:tcW w:w="993" w:type="dxa"/>
            <w:noWrap/>
            <w:hideMark/>
          </w:tcPr>
          <w:p w14:paraId="17606D85" w14:textId="77777777" w:rsidR="000F6315" w:rsidRPr="001D0CF3" w:rsidRDefault="000F6315" w:rsidP="000F6315">
            <w:pPr>
              <w:jc w:val="both"/>
              <w:rPr>
                <w:rFonts w:eastAsiaTheme="minorEastAsia"/>
                <w:sz w:val="24"/>
                <w:szCs w:val="24"/>
              </w:rPr>
            </w:pPr>
            <w:r w:rsidRPr="001D0CF3">
              <w:rPr>
                <w:rFonts w:eastAsiaTheme="minorEastAsia"/>
                <w:sz w:val="24"/>
                <w:szCs w:val="24"/>
              </w:rPr>
              <w:t>0.582</w:t>
            </w:r>
          </w:p>
        </w:tc>
        <w:tc>
          <w:tcPr>
            <w:tcW w:w="1559" w:type="dxa"/>
            <w:noWrap/>
            <w:hideMark/>
          </w:tcPr>
          <w:p w14:paraId="6956467B" w14:textId="77777777" w:rsidR="000F6315" w:rsidRPr="001D0CF3" w:rsidRDefault="000F6315" w:rsidP="000F6315">
            <w:pPr>
              <w:jc w:val="both"/>
              <w:rPr>
                <w:rFonts w:eastAsiaTheme="minorEastAsia"/>
                <w:sz w:val="24"/>
                <w:szCs w:val="24"/>
              </w:rPr>
            </w:pPr>
            <w:r w:rsidRPr="001D0CF3">
              <w:rPr>
                <w:rFonts w:eastAsiaTheme="minorEastAsia"/>
                <w:sz w:val="24"/>
                <w:szCs w:val="24"/>
              </w:rPr>
              <w:t>-3.51935</w:t>
            </w:r>
          </w:p>
        </w:tc>
        <w:tc>
          <w:tcPr>
            <w:tcW w:w="1614" w:type="dxa"/>
            <w:noWrap/>
            <w:hideMark/>
          </w:tcPr>
          <w:p w14:paraId="2DDABB3F" w14:textId="77777777" w:rsidR="000F6315" w:rsidRPr="001D0CF3" w:rsidRDefault="000F6315" w:rsidP="000F6315">
            <w:pPr>
              <w:jc w:val="both"/>
              <w:rPr>
                <w:rFonts w:eastAsiaTheme="minorEastAsia"/>
                <w:sz w:val="24"/>
                <w:szCs w:val="24"/>
              </w:rPr>
            </w:pPr>
            <w:r w:rsidRPr="001D0CF3">
              <w:rPr>
                <w:rFonts w:eastAsiaTheme="minorEastAsia"/>
                <w:sz w:val="24"/>
                <w:szCs w:val="24"/>
              </w:rPr>
              <w:t>1.752933</w:t>
            </w:r>
          </w:p>
        </w:tc>
      </w:tr>
      <w:tr w:rsidR="00F83487" w:rsidRPr="001D0CF3" w14:paraId="53A2560E" w14:textId="77777777" w:rsidTr="00F83487">
        <w:trPr>
          <w:trHeight w:val="287"/>
        </w:trPr>
        <w:tc>
          <w:tcPr>
            <w:tcW w:w="1555" w:type="dxa"/>
            <w:noWrap/>
            <w:hideMark/>
          </w:tcPr>
          <w:p w14:paraId="3E9CD932" w14:textId="7C4DA9CC" w:rsidR="000F6315" w:rsidRPr="000F6315" w:rsidRDefault="0062217F" w:rsidP="000F6315">
            <w:pPr>
              <w:jc w:val="both"/>
              <w:rPr>
                <w:rFonts w:eastAsiaTheme="minorEastAsia"/>
                <w:sz w:val="24"/>
                <w:szCs w:val="24"/>
              </w:rPr>
            </w:pPr>
            <m:oMathPara>
              <m:oMathParaPr>
                <m:jc m:val="left"/>
              </m:oMathParaPr>
              <m:oMath>
                <m:sSub>
                  <m:sSubPr>
                    <m:ctrlPr>
                      <w:rPr>
                        <w:rFonts w:ascii="Cambria Math" w:eastAsia="Times New Roman" w:hAnsi="Cambria Math" w:cs="Calibri"/>
                        <w:i/>
                        <w:color w:val="000000"/>
                        <w:lang w:val="es-CL" w:eastAsia="es-CL"/>
                      </w:rPr>
                    </m:ctrlPr>
                  </m:sSubPr>
                  <m:e>
                    <m:r>
                      <w:rPr>
                        <w:rFonts w:ascii="Cambria Math" w:eastAsia="Times New Roman" w:hAnsi="Cambria Math" w:cs="Calibri"/>
                        <w:color w:val="000000"/>
                        <w:lang w:val="es-CL" w:eastAsia="es-CL"/>
                      </w:rPr>
                      <m:t>ν</m:t>
                    </m:r>
                  </m:e>
                  <m:sub>
                    <m:r>
                      <w:rPr>
                        <w:rFonts w:ascii="Cambria Math" w:eastAsia="Times New Roman" w:hAnsi="Cambria Math" w:cs="Calibri"/>
                        <w:color w:val="000000"/>
                        <w:lang w:val="es-CL" w:eastAsia="es-CL"/>
                      </w:rPr>
                      <m:t>3</m:t>
                    </m:r>
                  </m:sub>
                </m:sSub>
              </m:oMath>
            </m:oMathPara>
          </w:p>
        </w:tc>
        <w:tc>
          <w:tcPr>
            <w:tcW w:w="1417" w:type="dxa"/>
            <w:noWrap/>
            <w:hideMark/>
          </w:tcPr>
          <w:p w14:paraId="224538FE" w14:textId="77777777" w:rsidR="000F6315" w:rsidRPr="001D0CF3" w:rsidRDefault="000F6315" w:rsidP="000F6315">
            <w:pPr>
              <w:jc w:val="both"/>
              <w:rPr>
                <w:rFonts w:eastAsiaTheme="minorEastAsia"/>
                <w:sz w:val="24"/>
                <w:szCs w:val="24"/>
              </w:rPr>
            </w:pPr>
            <w:r w:rsidRPr="001D0CF3">
              <w:rPr>
                <w:rFonts w:eastAsiaTheme="minorEastAsia"/>
                <w:sz w:val="24"/>
                <w:szCs w:val="24"/>
              </w:rPr>
              <w:t>-0.0000129</w:t>
            </w:r>
          </w:p>
        </w:tc>
        <w:tc>
          <w:tcPr>
            <w:tcW w:w="1276" w:type="dxa"/>
            <w:noWrap/>
            <w:hideMark/>
          </w:tcPr>
          <w:p w14:paraId="54A83C58" w14:textId="77777777" w:rsidR="000F6315" w:rsidRPr="001D0CF3" w:rsidRDefault="000F6315" w:rsidP="000F6315">
            <w:pPr>
              <w:jc w:val="both"/>
              <w:rPr>
                <w:rFonts w:eastAsiaTheme="minorEastAsia"/>
                <w:sz w:val="24"/>
                <w:szCs w:val="24"/>
              </w:rPr>
            </w:pPr>
            <w:r w:rsidRPr="001D0CF3">
              <w:rPr>
                <w:rFonts w:eastAsiaTheme="minorEastAsia"/>
                <w:sz w:val="24"/>
                <w:szCs w:val="24"/>
              </w:rPr>
              <w:t>0.008809</w:t>
            </w:r>
          </w:p>
        </w:tc>
        <w:tc>
          <w:tcPr>
            <w:tcW w:w="850" w:type="dxa"/>
            <w:noWrap/>
            <w:hideMark/>
          </w:tcPr>
          <w:p w14:paraId="551FCE2A" w14:textId="77777777" w:rsidR="000F6315" w:rsidRPr="001D0CF3" w:rsidRDefault="000F6315" w:rsidP="000F6315">
            <w:pPr>
              <w:jc w:val="both"/>
              <w:rPr>
                <w:rFonts w:eastAsiaTheme="minorEastAsia"/>
                <w:sz w:val="24"/>
                <w:szCs w:val="24"/>
              </w:rPr>
            </w:pPr>
            <w:r w:rsidRPr="001D0CF3">
              <w:rPr>
                <w:rFonts w:eastAsiaTheme="minorEastAsia"/>
                <w:sz w:val="24"/>
                <w:szCs w:val="24"/>
              </w:rPr>
              <w:t>0</w:t>
            </w:r>
          </w:p>
        </w:tc>
        <w:tc>
          <w:tcPr>
            <w:tcW w:w="993" w:type="dxa"/>
            <w:noWrap/>
            <w:hideMark/>
          </w:tcPr>
          <w:p w14:paraId="40350510" w14:textId="77777777" w:rsidR="000F6315" w:rsidRPr="001D0CF3" w:rsidRDefault="000F6315" w:rsidP="000F6315">
            <w:pPr>
              <w:jc w:val="both"/>
              <w:rPr>
                <w:rFonts w:eastAsiaTheme="minorEastAsia"/>
                <w:sz w:val="24"/>
                <w:szCs w:val="24"/>
              </w:rPr>
            </w:pPr>
            <w:r w:rsidRPr="001D0CF3">
              <w:rPr>
                <w:rFonts w:eastAsiaTheme="minorEastAsia"/>
                <w:sz w:val="24"/>
                <w:szCs w:val="24"/>
              </w:rPr>
              <w:t>0.999</w:t>
            </w:r>
          </w:p>
        </w:tc>
        <w:tc>
          <w:tcPr>
            <w:tcW w:w="1559" w:type="dxa"/>
            <w:noWrap/>
            <w:hideMark/>
          </w:tcPr>
          <w:p w14:paraId="4D100E8E" w14:textId="77777777" w:rsidR="000F6315" w:rsidRPr="001D0CF3" w:rsidRDefault="000F6315" w:rsidP="000F6315">
            <w:pPr>
              <w:jc w:val="both"/>
              <w:rPr>
                <w:rFonts w:eastAsiaTheme="minorEastAsia"/>
                <w:sz w:val="24"/>
                <w:szCs w:val="24"/>
              </w:rPr>
            </w:pPr>
            <w:r w:rsidRPr="001D0CF3">
              <w:rPr>
                <w:rFonts w:eastAsiaTheme="minorEastAsia"/>
                <w:sz w:val="24"/>
                <w:szCs w:val="24"/>
              </w:rPr>
              <w:t>-0.0145</w:t>
            </w:r>
          </w:p>
        </w:tc>
        <w:tc>
          <w:tcPr>
            <w:tcW w:w="1614" w:type="dxa"/>
            <w:noWrap/>
            <w:hideMark/>
          </w:tcPr>
          <w:p w14:paraId="7C0B2BF5" w14:textId="77777777" w:rsidR="000F6315" w:rsidRPr="001D0CF3" w:rsidRDefault="000F6315" w:rsidP="000F6315">
            <w:pPr>
              <w:jc w:val="both"/>
              <w:rPr>
                <w:rFonts w:eastAsiaTheme="minorEastAsia"/>
                <w:sz w:val="24"/>
                <w:szCs w:val="24"/>
              </w:rPr>
            </w:pPr>
            <w:r w:rsidRPr="001D0CF3">
              <w:rPr>
                <w:rFonts w:eastAsiaTheme="minorEastAsia"/>
                <w:sz w:val="24"/>
                <w:szCs w:val="24"/>
              </w:rPr>
              <w:t>0.014477</w:t>
            </w:r>
          </w:p>
        </w:tc>
      </w:tr>
    </w:tbl>
    <w:p w14:paraId="2E5AF4B1" w14:textId="55B24783" w:rsidR="00EE3A66" w:rsidRDefault="00EE3A66" w:rsidP="000E2483">
      <w:pPr>
        <w:jc w:val="both"/>
        <w:rPr>
          <w:rFonts w:eastAsiaTheme="minorEastAsia"/>
          <w:sz w:val="24"/>
          <w:szCs w:val="24"/>
          <w:lang w:val="es-CL"/>
        </w:rPr>
      </w:pPr>
    </w:p>
    <w:p w14:paraId="58422E7C" w14:textId="14BF25EC" w:rsidR="00A422DD" w:rsidRPr="003B6C66" w:rsidRDefault="00A422DD" w:rsidP="00785BB0">
      <w:pPr>
        <w:jc w:val="both"/>
        <w:rPr>
          <w:rFonts w:eastAsiaTheme="minorEastAsia"/>
          <w:sz w:val="24"/>
          <w:szCs w:val="24"/>
        </w:rPr>
      </w:pPr>
      <w:r w:rsidRPr="003B6C66">
        <w:rPr>
          <w:rFonts w:eastAsiaTheme="minorEastAsia"/>
          <w:sz w:val="24"/>
          <w:szCs w:val="24"/>
        </w:rPr>
        <w:t xml:space="preserve">Where </w:t>
      </w: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L</m:t>
            </m:r>
          </m:e>
          <m:sub>
            <m:r>
              <w:rPr>
                <w:rFonts w:ascii="Cambria Math" w:eastAsiaTheme="minorEastAsia" w:hAnsi="Cambria Math"/>
                <w:sz w:val="24"/>
                <w:szCs w:val="24"/>
              </w:rPr>
              <m:t>1</m:t>
            </m:r>
          </m:sub>
        </m:sSub>
      </m:oMath>
      <w:r w:rsidRPr="003B6C66">
        <w:rPr>
          <w:rFonts w:eastAsiaTheme="minorEastAsia"/>
          <w:sz w:val="24"/>
          <w:szCs w:val="24"/>
        </w:rPr>
        <w:t xml:space="preserve"> denotes the first lag of the corresponding variable and </w:t>
      </w:r>
      <m:oMath>
        <m:sSub>
          <m:sSubPr>
            <m:ctrlPr>
              <w:rPr>
                <w:rFonts w:ascii="Cambria Math" w:eastAsia="Times New Roman" w:hAnsi="Cambria Math" w:cs="Calibri"/>
                <w:i/>
                <w:color w:val="000000"/>
                <w:lang w:val="es-CL" w:eastAsia="es-CL"/>
              </w:rPr>
            </m:ctrlPr>
          </m:sSubPr>
          <m:e>
            <m:r>
              <w:rPr>
                <w:rFonts w:ascii="Cambria Math" w:eastAsia="Times New Roman" w:hAnsi="Cambria Math" w:cs="Calibri"/>
                <w:color w:val="000000"/>
                <w:lang w:val="es-CL" w:eastAsia="es-CL"/>
              </w:rPr>
              <m:t>ν</m:t>
            </m:r>
          </m:e>
          <m:sub>
            <m:r>
              <w:rPr>
                <w:rFonts w:ascii="Cambria Math" w:eastAsia="Times New Roman" w:hAnsi="Cambria Math" w:cs="Calibri"/>
                <w:color w:val="000000"/>
                <w:lang w:val="es-CL" w:eastAsia="es-CL"/>
              </w:rPr>
              <m:t>i</m:t>
            </m:r>
          </m:sub>
        </m:sSub>
        <m:r>
          <m:rPr>
            <m:sty m:val="p"/>
          </m:rPr>
          <w:rPr>
            <w:rFonts w:ascii="Cambria Math" w:eastAsia="Times New Roman" w:hAnsi="Cambria Math" w:cs="Calibri"/>
            <w:color w:val="000000"/>
            <w:lang w:eastAsia="es-CL"/>
          </w:rPr>
          <m:t>(</m:t>
        </m:r>
        <m:r>
          <w:rPr>
            <w:rFonts w:ascii="Cambria Math" w:eastAsia="Times New Roman" w:hAnsi="Cambria Math" w:cs="Calibri"/>
            <w:color w:val="000000"/>
            <w:lang w:val="es-CL" w:eastAsia="es-CL"/>
          </w:rPr>
          <m:t>i</m:t>
        </m:r>
        <m:r>
          <m:rPr>
            <m:sty m:val="p"/>
          </m:rPr>
          <w:rPr>
            <w:rFonts w:ascii="Cambria Math" w:eastAsia="Times New Roman" w:hAnsi="Cambria Math" w:cs="Calibri"/>
            <w:color w:val="000000"/>
            <w:lang w:eastAsia="es-CL"/>
          </w:rPr>
          <m:t>=1,2,3)</m:t>
        </m:r>
        <m:r>
          <m:rPr>
            <m:sty m:val="p"/>
          </m:rPr>
          <w:rPr>
            <w:rFonts w:ascii="Cambria Math" w:eastAsiaTheme="minorEastAsia" w:hAnsi="Cambria Math"/>
            <w:sz w:val="24"/>
            <w:szCs w:val="24"/>
          </w:rPr>
          <m:t xml:space="preserve"> </m:t>
        </m:r>
      </m:oMath>
      <w:r w:rsidRPr="003B6C66">
        <w:rPr>
          <w:rFonts w:eastAsiaTheme="minorEastAsia"/>
          <w:sz w:val="24"/>
          <w:szCs w:val="24"/>
        </w:rPr>
        <w:t xml:space="preserve"> are constants.</w:t>
      </w:r>
      <w:r w:rsidR="00C72AE1" w:rsidRPr="003B6C66">
        <w:rPr>
          <w:rFonts w:eastAsiaTheme="minorEastAsia"/>
          <w:sz w:val="24"/>
          <w:szCs w:val="24"/>
        </w:rPr>
        <w:t xml:space="preserve"> Now, we will analyze the effect of a shock in the variation of the TPM and the exchange rate on Inflation.</w:t>
      </w:r>
    </w:p>
    <w:p w14:paraId="514F1156" w14:textId="21CB32F4" w:rsidR="006D0574" w:rsidRPr="003B6C66" w:rsidRDefault="00330CE7" w:rsidP="00955845">
      <w:pPr>
        <w:jc w:val="both"/>
        <w:rPr>
          <w:rFonts w:eastAsiaTheme="minorEastAsia"/>
          <w:sz w:val="24"/>
          <w:szCs w:val="24"/>
        </w:rPr>
      </w:pPr>
      <w:r w:rsidRPr="003B6C66">
        <w:rPr>
          <w:rFonts w:eastAsiaTheme="minorEastAsia"/>
          <w:sz w:val="24"/>
          <w:szCs w:val="24"/>
        </w:rPr>
        <w:lastRenderedPageBreak/>
        <w:t xml:space="preserve">Figure 1 shows the effect of an unexpected increase in one standard deviation of the change in the </w:t>
      </w:r>
      <w:r w:rsidR="00785F4F" w:rsidRPr="003B6C66">
        <w:rPr>
          <w:rFonts w:eastAsiaTheme="minorEastAsia"/>
          <w:sz w:val="24"/>
          <w:szCs w:val="24"/>
        </w:rPr>
        <w:t>TPM</w:t>
      </w:r>
      <w:r w:rsidRPr="003B6C66">
        <w:rPr>
          <w:rFonts w:eastAsiaTheme="minorEastAsia"/>
          <w:sz w:val="24"/>
          <w:szCs w:val="24"/>
        </w:rPr>
        <w:t xml:space="preserve"> on inflation. The graphs show that this shock has a small, but positive and</w:t>
      </w:r>
      <w:r w:rsidR="00286399" w:rsidRPr="003B6C66">
        <w:rPr>
          <w:rFonts w:eastAsiaTheme="minorEastAsia"/>
          <w:sz w:val="24"/>
          <w:szCs w:val="24"/>
        </w:rPr>
        <w:t xml:space="preserve"> statistically</w:t>
      </w:r>
      <w:r w:rsidRPr="003B6C66">
        <w:rPr>
          <w:rFonts w:eastAsiaTheme="minorEastAsia"/>
          <w:sz w:val="24"/>
          <w:szCs w:val="24"/>
        </w:rPr>
        <w:t xml:space="preserve"> significant effect on inflation in the short term, reaching a peak in the </w:t>
      </w:r>
      <w:r w:rsidR="007F4508">
        <w:rPr>
          <w:rFonts w:eastAsiaTheme="minorEastAsia"/>
          <w:sz w:val="24"/>
          <w:szCs w:val="24"/>
        </w:rPr>
        <w:t>third</w:t>
      </w:r>
      <w:r w:rsidRPr="003B6C66">
        <w:rPr>
          <w:rFonts w:eastAsiaTheme="minorEastAsia"/>
          <w:sz w:val="24"/>
          <w:szCs w:val="24"/>
        </w:rPr>
        <w:t xml:space="preserve"> month</w:t>
      </w:r>
      <w:r w:rsidR="00286399" w:rsidRPr="00286399">
        <w:t xml:space="preserve"> </w:t>
      </w:r>
      <w:r w:rsidR="00286399" w:rsidRPr="003B6C66">
        <w:rPr>
          <w:rFonts w:eastAsiaTheme="minorEastAsia"/>
          <w:sz w:val="24"/>
          <w:szCs w:val="24"/>
        </w:rPr>
        <w:t>approximately</w:t>
      </w:r>
      <w:r w:rsidR="00383F1F">
        <w:rPr>
          <w:rFonts w:eastAsiaTheme="minorEastAsia"/>
          <w:sz w:val="24"/>
          <w:szCs w:val="24"/>
        </w:rPr>
        <w:t>;</w:t>
      </w:r>
      <w:r w:rsidRPr="003B6C66">
        <w:rPr>
          <w:rFonts w:eastAsiaTheme="minorEastAsia"/>
          <w:sz w:val="24"/>
          <w:szCs w:val="24"/>
        </w:rPr>
        <w:t xml:space="preserve"> then the effect falls and stops being </w:t>
      </w:r>
      <w:r w:rsidR="007F4508">
        <w:rPr>
          <w:rFonts w:eastAsiaTheme="minorEastAsia"/>
          <w:sz w:val="24"/>
          <w:szCs w:val="24"/>
        </w:rPr>
        <w:t xml:space="preserve">statistically </w:t>
      </w:r>
      <w:r w:rsidRPr="003B6C66">
        <w:rPr>
          <w:rFonts w:eastAsiaTheme="minorEastAsia"/>
          <w:sz w:val="24"/>
          <w:szCs w:val="24"/>
        </w:rPr>
        <w:t xml:space="preserve">significant. Therefore, an unexpected increase in the variation of the </w:t>
      </w:r>
      <w:r w:rsidR="00286399" w:rsidRPr="003B6C66">
        <w:rPr>
          <w:rFonts w:eastAsiaTheme="minorEastAsia"/>
          <w:sz w:val="24"/>
          <w:szCs w:val="24"/>
        </w:rPr>
        <w:t>TPM</w:t>
      </w:r>
      <w:r w:rsidRPr="003B6C66">
        <w:rPr>
          <w:rFonts w:eastAsiaTheme="minorEastAsia"/>
          <w:sz w:val="24"/>
          <w:szCs w:val="24"/>
        </w:rPr>
        <w:t xml:space="preserve"> is associated with a small but perceptible increase in inflation in the short term. This is surprising since one would expect a rise in the </w:t>
      </w:r>
      <w:r w:rsidR="00C56E10" w:rsidRPr="003B6C66">
        <w:rPr>
          <w:rFonts w:eastAsiaTheme="minorEastAsia"/>
          <w:sz w:val="24"/>
          <w:szCs w:val="24"/>
        </w:rPr>
        <w:t>TPM</w:t>
      </w:r>
      <w:r w:rsidRPr="003B6C66">
        <w:rPr>
          <w:rFonts w:eastAsiaTheme="minorEastAsia"/>
          <w:sz w:val="24"/>
          <w:szCs w:val="24"/>
        </w:rPr>
        <w:t xml:space="preserve"> to have a negative, not a positive, effect on inflation.</w:t>
      </w:r>
      <w:r w:rsidR="00C56E10" w:rsidRPr="003B6C66">
        <w:rPr>
          <w:rFonts w:eastAsiaTheme="minorEastAsia"/>
          <w:sz w:val="24"/>
          <w:szCs w:val="24"/>
        </w:rPr>
        <w:t xml:space="preserve"> One possible explanation is that, in a small, open economy with inflation generated abroad, the effect of a rise in the TPM translates into an increase in the cost of imported products due to the higher cost of inventories and of </w:t>
      </w:r>
      <w:r w:rsidR="00383F1F">
        <w:rPr>
          <w:rFonts w:eastAsiaTheme="minorEastAsia"/>
          <w:sz w:val="24"/>
          <w:szCs w:val="24"/>
        </w:rPr>
        <w:t>imported intermediate</w:t>
      </w:r>
      <w:r w:rsidR="00C56E10" w:rsidRPr="003B6C66">
        <w:rPr>
          <w:rFonts w:eastAsiaTheme="minorEastAsia"/>
          <w:sz w:val="24"/>
          <w:szCs w:val="24"/>
        </w:rPr>
        <w:t xml:space="preserve"> goods. The increase in import costs may thus contribute to exacerbating rather than reducing inflation. In other words, the effect of the increase in import costs on inflation that the rise in the TPM may entail may be stronger than the effect of the reduction in domestic demand.</w:t>
      </w:r>
    </w:p>
    <w:p w14:paraId="35FFF5DE" w14:textId="271F1FB6" w:rsidR="00D47245" w:rsidRPr="003B6C66" w:rsidRDefault="00D47245" w:rsidP="00955845">
      <w:pPr>
        <w:jc w:val="both"/>
        <w:rPr>
          <w:rFonts w:eastAsiaTheme="minorEastAsia"/>
          <w:sz w:val="24"/>
          <w:szCs w:val="24"/>
        </w:rPr>
      </w:pPr>
      <w:r w:rsidRPr="003B6C66">
        <w:rPr>
          <w:rFonts w:eastAsiaTheme="minorEastAsia"/>
          <w:sz w:val="24"/>
          <w:szCs w:val="24"/>
        </w:rPr>
        <w:t>Another possible explanation of the effect of the variation of the TPM on inflation is that, since the TPM is a variable controlled by the Central Bank and the increases in this variable are due to the expectations that this institution has about future inflation, then if on average these expectations are correct an increase in the variation of the TPM may be associated with increases in inflation in the short term.</w:t>
      </w:r>
    </w:p>
    <w:p w14:paraId="3A645EF0" w14:textId="77777777" w:rsidR="00703F54" w:rsidRPr="003B6C66" w:rsidRDefault="00703F54" w:rsidP="00703F54">
      <w:pPr>
        <w:jc w:val="both"/>
        <w:rPr>
          <w:rFonts w:eastAsiaTheme="minorEastAsia"/>
          <w:sz w:val="24"/>
          <w:szCs w:val="24"/>
        </w:rPr>
      </w:pPr>
    </w:p>
    <w:p w14:paraId="72330924" w14:textId="66D6F9E1" w:rsidR="00703F54" w:rsidRDefault="00703F54" w:rsidP="00703F54">
      <w:pPr>
        <w:jc w:val="center"/>
        <w:rPr>
          <w:rFonts w:eastAsiaTheme="minorEastAsia"/>
          <w:b/>
          <w:bCs/>
          <w:sz w:val="24"/>
          <w:szCs w:val="24"/>
        </w:rPr>
      </w:pPr>
      <w:r w:rsidRPr="003B6C66">
        <w:rPr>
          <w:rFonts w:eastAsiaTheme="minorEastAsia"/>
          <w:b/>
          <w:bCs/>
          <w:sz w:val="24"/>
          <w:szCs w:val="24"/>
        </w:rPr>
        <w:t>Figure 1. Orthogonalized IRF of a shock in the variation of the TPM on inflation.</w:t>
      </w:r>
    </w:p>
    <w:p w14:paraId="603D181C" w14:textId="5BD07755" w:rsidR="007B60AC" w:rsidRPr="003B6C66" w:rsidRDefault="007B60AC" w:rsidP="00703F54">
      <w:pPr>
        <w:jc w:val="center"/>
        <w:rPr>
          <w:rFonts w:eastAsiaTheme="minorEastAsia"/>
          <w:b/>
          <w:bCs/>
          <w:sz w:val="24"/>
          <w:szCs w:val="24"/>
        </w:rPr>
      </w:pPr>
      <w:r w:rsidRPr="007B60AC">
        <w:rPr>
          <w:rFonts w:eastAsiaTheme="minorEastAsia"/>
          <w:b/>
          <w:bCs/>
          <w:sz w:val="24"/>
          <w:szCs w:val="24"/>
        </w:rPr>
        <w:drawing>
          <wp:inline distT="0" distB="0" distL="0" distR="0" wp14:anchorId="443F4BF0" wp14:editId="14F4C5DA">
            <wp:extent cx="4696445" cy="3417322"/>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2909" cy="3422025"/>
                    </a:xfrm>
                    <a:prstGeom prst="rect">
                      <a:avLst/>
                    </a:prstGeom>
                    <a:noFill/>
                    <a:ln>
                      <a:noFill/>
                    </a:ln>
                  </pic:spPr>
                </pic:pic>
              </a:graphicData>
            </a:graphic>
          </wp:inline>
        </w:drawing>
      </w:r>
    </w:p>
    <w:p w14:paraId="7C7AEE49" w14:textId="5B356B28" w:rsidR="00E66199" w:rsidRPr="003B6C66" w:rsidRDefault="00E66199" w:rsidP="007B60AC">
      <w:pPr>
        <w:jc w:val="center"/>
        <w:rPr>
          <w:rFonts w:eastAsiaTheme="minorEastAsia"/>
          <w:sz w:val="24"/>
          <w:szCs w:val="24"/>
        </w:rPr>
      </w:pPr>
      <w:r w:rsidRPr="003B6C66">
        <w:rPr>
          <w:rFonts w:eastAsiaTheme="minorEastAsia"/>
          <w:sz w:val="18"/>
          <w:szCs w:val="18"/>
        </w:rPr>
        <w:t>Note: The graph on the left shows the CI for asymptotic estimates of standard errors and the one on the right for bootstrap estimates.</w:t>
      </w:r>
    </w:p>
    <w:p w14:paraId="3C3F955A" w14:textId="1D58F98A" w:rsidR="00CA4A4D" w:rsidRDefault="00860119" w:rsidP="00955845">
      <w:pPr>
        <w:jc w:val="both"/>
        <w:rPr>
          <w:rFonts w:eastAsiaTheme="minorEastAsia"/>
          <w:sz w:val="24"/>
          <w:szCs w:val="24"/>
        </w:rPr>
      </w:pPr>
      <w:r w:rsidRPr="003B6C66">
        <w:rPr>
          <w:rFonts w:eastAsiaTheme="minorEastAsia"/>
          <w:sz w:val="24"/>
          <w:szCs w:val="24"/>
        </w:rPr>
        <w:lastRenderedPageBreak/>
        <w:t xml:space="preserve">As the estimates using the Cholesky decomposition are not necessarily invariant to the order of the endogenous variables, we present the IRFs for different orders in Figure 2. </w:t>
      </w:r>
      <w:r w:rsidR="00CA4A4D" w:rsidRPr="00CA4A4D">
        <w:rPr>
          <w:rFonts w:eastAsiaTheme="minorEastAsia"/>
          <w:sz w:val="24"/>
          <w:szCs w:val="24"/>
        </w:rPr>
        <w:t xml:space="preserve">In this figure we can </w:t>
      </w:r>
      <w:r w:rsidR="00CA4A4D">
        <w:rPr>
          <w:rFonts w:eastAsiaTheme="minorEastAsia"/>
          <w:sz w:val="24"/>
          <w:szCs w:val="24"/>
        </w:rPr>
        <w:t>observe</w:t>
      </w:r>
      <w:r w:rsidR="00CA4A4D" w:rsidRPr="00CA4A4D">
        <w:rPr>
          <w:rFonts w:eastAsiaTheme="minorEastAsia"/>
          <w:sz w:val="24"/>
          <w:szCs w:val="24"/>
        </w:rPr>
        <w:t xml:space="preserve"> that the qualitative results shown in </w:t>
      </w:r>
      <w:r w:rsidR="00AF1FCF">
        <w:rPr>
          <w:rFonts w:eastAsiaTheme="minorEastAsia"/>
          <w:sz w:val="24"/>
          <w:szCs w:val="24"/>
        </w:rPr>
        <w:t>F</w:t>
      </w:r>
      <w:r w:rsidR="00CA4A4D" w:rsidRPr="00CA4A4D">
        <w:rPr>
          <w:rFonts w:eastAsiaTheme="minorEastAsia"/>
          <w:sz w:val="24"/>
          <w:szCs w:val="24"/>
        </w:rPr>
        <w:t>igure 1 change only for one order</w:t>
      </w:r>
      <w:r w:rsidR="00CA4A4D">
        <w:rPr>
          <w:rFonts w:eastAsiaTheme="minorEastAsia"/>
          <w:sz w:val="24"/>
          <w:szCs w:val="24"/>
        </w:rPr>
        <w:t xml:space="preserve"> (i</w:t>
      </w:r>
      <w:r w:rsidR="00CA4A4D" w:rsidRPr="00CA4A4D">
        <w:rPr>
          <w:rFonts w:eastAsiaTheme="minorEastAsia"/>
          <w:sz w:val="24"/>
          <w:szCs w:val="24"/>
        </w:rPr>
        <w:t>n which the effect is not statistically significant</w:t>
      </w:r>
      <w:r w:rsidR="00CA4A4D">
        <w:rPr>
          <w:rFonts w:eastAsiaTheme="minorEastAsia"/>
          <w:sz w:val="24"/>
          <w:szCs w:val="24"/>
        </w:rPr>
        <w:t>)</w:t>
      </w:r>
      <w:r w:rsidR="00CA4A4D" w:rsidRPr="00CA4A4D">
        <w:rPr>
          <w:rFonts w:eastAsiaTheme="minorEastAsia"/>
          <w:sz w:val="24"/>
          <w:szCs w:val="24"/>
        </w:rPr>
        <w:t xml:space="preserve"> and for some</w:t>
      </w:r>
      <w:r w:rsidR="00867BE6">
        <w:rPr>
          <w:rFonts w:eastAsiaTheme="minorEastAsia"/>
          <w:sz w:val="24"/>
          <w:szCs w:val="24"/>
        </w:rPr>
        <w:t xml:space="preserve"> other</w:t>
      </w:r>
      <w:r w:rsidR="00CA4A4D" w:rsidRPr="00CA4A4D">
        <w:rPr>
          <w:rFonts w:eastAsiaTheme="minorEastAsia"/>
          <w:sz w:val="24"/>
          <w:szCs w:val="24"/>
        </w:rPr>
        <w:t xml:space="preserve"> orders of the Cholesky decomposition the increase in inflation is instantaneous and falls monotonically to zero as the months go by, unlike wh</w:t>
      </w:r>
      <w:r w:rsidR="004C488C">
        <w:rPr>
          <w:rFonts w:eastAsiaTheme="minorEastAsia"/>
          <w:sz w:val="24"/>
          <w:szCs w:val="24"/>
        </w:rPr>
        <w:t>at</w:t>
      </w:r>
      <w:r w:rsidR="00CA4A4D" w:rsidRPr="00CA4A4D">
        <w:rPr>
          <w:rFonts w:eastAsiaTheme="minorEastAsia"/>
          <w:sz w:val="24"/>
          <w:szCs w:val="24"/>
        </w:rPr>
        <w:t xml:space="preserve"> is derived in </w:t>
      </w:r>
      <w:r w:rsidR="00347FDD">
        <w:rPr>
          <w:rFonts w:eastAsiaTheme="minorEastAsia"/>
          <w:sz w:val="24"/>
          <w:szCs w:val="24"/>
        </w:rPr>
        <w:t>F</w:t>
      </w:r>
      <w:r w:rsidR="00CA4A4D" w:rsidRPr="00CA4A4D">
        <w:rPr>
          <w:rFonts w:eastAsiaTheme="minorEastAsia"/>
          <w:sz w:val="24"/>
          <w:szCs w:val="24"/>
        </w:rPr>
        <w:t>igure 1.</w:t>
      </w:r>
    </w:p>
    <w:p w14:paraId="4D33682A" w14:textId="482FF530" w:rsidR="00E8529A" w:rsidRPr="003B6C66" w:rsidRDefault="00E8529A" w:rsidP="00955845">
      <w:pPr>
        <w:jc w:val="both"/>
        <w:rPr>
          <w:rFonts w:eastAsiaTheme="minorEastAsia"/>
          <w:sz w:val="24"/>
          <w:szCs w:val="24"/>
        </w:rPr>
      </w:pPr>
    </w:p>
    <w:p w14:paraId="5D4A8D3D" w14:textId="04246962" w:rsidR="00E46BE6" w:rsidRDefault="00E46BE6" w:rsidP="00C568D9">
      <w:pPr>
        <w:jc w:val="center"/>
        <w:rPr>
          <w:rFonts w:eastAsiaTheme="minorEastAsia"/>
          <w:b/>
          <w:bCs/>
          <w:sz w:val="24"/>
          <w:szCs w:val="24"/>
        </w:rPr>
      </w:pPr>
      <w:r w:rsidRPr="003B6C66">
        <w:rPr>
          <w:rFonts w:eastAsiaTheme="minorEastAsia"/>
          <w:b/>
          <w:bCs/>
          <w:sz w:val="24"/>
          <w:szCs w:val="24"/>
        </w:rPr>
        <w:t>Figure 2. Orthogonalized IRF of a shock in the variation of the TPM on inflation for different orders in the Cholesky decomposition</w:t>
      </w:r>
    </w:p>
    <w:p w14:paraId="03EB98F1" w14:textId="5440D8F8" w:rsidR="00E53178" w:rsidRPr="003B6C66" w:rsidRDefault="00E53178" w:rsidP="00C568D9">
      <w:pPr>
        <w:jc w:val="center"/>
        <w:rPr>
          <w:rFonts w:eastAsiaTheme="minorEastAsia"/>
          <w:b/>
          <w:bCs/>
          <w:sz w:val="24"/>
          <w:szCs w:val="24"/>
        </w:rPr>
      </w:pPr>
      <w:r w:rsidRPr="00E53178">
        <w:rPr>
          <w:rFonts w:eastAsiaTheme="minorEastAsia"/>
          <w:b/>
          <w:bCs/>
          <w:sz w:val="24"/>
          <w:szCs w:val="24"/>
        </w:rPr>
        <w:drawing>
          <wp:inline distT="0" distB="0" distL="0" distR="0" wp14:anchorId="573BCB6F" wp14:editId="2C010BBD">
            <wp:extent cx="4636928" cy="337401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6087" cy="3380680"/>
                    </a:xfrm>
                    <a:prstGeom prst="rect">
                      <a:avLst/>
                    </a:prstGeom>
                    <a:noFill/>
                    <a:ln>
                      <a:noFill/>
                    </a:ln>
                  </pic:spPr>
                </pic:pic>
              </a:graphicData>
            </a:graphic>
          </wp:inline>
        </w:drawing>
      </w:r>
    </w:p>
    <w:p w14:paraId="7DAC8E22" w14:textId="3820D67C" w:rsidR="00C568D9" w:rsidRDefault="00C568D9" w:rsidP="00C568D9">
      <w:pPr>
        <w:jc w:val="center"/>
        <w:rPr>
          <w:rFonts w:eastAsiaTheme="minorEastAsia"/>
          <w:sz w:val="24"/>
          <w:szCs w:val="24"/>
          <w:lang w:val="es-CL"/>
        </w:rPr>
      </w:pPr>
    </w:p>
    <w:p w14:paraId="2373AE53" w14:textId="290ADF93" w:rsidR="006711C4" w:rsidRDefault="006711C4" w:rsidP="006711C4">
      <w:pPr>
        <w:jc w:val="both"/>
        <w:rPr>
          <w:rFonts w:eastAsiaTheme="minorEastAsia"/>
          <w:sz w:val="24"/>
          <w:szCs w:val="24"/>
        </w:rPr>
      </w:pPr>
      <w:r w:rsidRPr="006711C4">
        <w:rPr>
          <w:rFonts w:eastAsiaTheme="minorEastAsia"/>
          <w:sz w:val="24"/>
          <w:szCs w:val="24"/>
        </w:rPr>
        <w:t xml:space="preserve">The effect of an unexpected increase in the change in the exchange rate also depends on the order of the Cholesky decomposition. In fact, as shown in Figure 3, for some orders the effect on inflation </w:t>
      </w:r>
      <w:r w:rsidR="002754CE">
        <w:rPr>
          <w:rFonts w:eastAsiaTheme="minorEastAsia"/>
          <w:sz w:val="24"/>
          <w:szCs w:val="24"/>
        </w:rPr>
        <w:t>increases</w:t>
      </w:r>
      <w:r w:rsidRPr="006711C4">
        <w:rPr>
          <w:rFonts w:eastAsiaTheme="minorEastAsia"/>
          <w:sz w:val="24"/>
          <w:szCs w:val="24"/>
        </w:rPr>
        <w:t xml:space="preserve"> instantaneously and falls to zero as the months go by, and for other orders the effect increases until it reaches a peak in the second month and then falls to zero in the seventh month approximately</w:t>
      </w:r>
      <w:r>
        <w:rPr>
          <w:rFonts w:eastAsiaTheme="minorEastAsia"/>
          <w:sz w:val="24"/>
          <w:szCs w:val="24"/>
        </w:rPr>
        <w:t>.</w:t>
      </w:r>
      <w:r w:rsidR="002C0AD7">
        <w:rPr>
          <w:rFonts w:eastAsiaTheme="minorEastAsia"/>
          <w:sz w:val="24"/>
          <w:szCs w:val="24"/>
        </w:rPr>
        <w:t xml:space="preserve"> H</w:t>
      </w:r>
      <w:r w:rsidR="002C0AD7" w:rsidRPr="002C0AD7">
        <w:rPr>
          <w:rFonts w:eastAsiaTheme="minorEastAsia"/>
          <w:sz w:val="24"/>
          <w:szCs w:val="24"/>
        </w:rPr>
        <w:t>owever, the effect is always positive and statistically significant</w:t>
      </w:r>
      <w:r w:rsidR="002C0AD7">
        <w:rPr>
          <w:rFonts w:eastAsiaTheme="minorEastAsia"/>
          <w:sz w:val="24"/>
          <w:szCs w:val="24"/>
        </w:rPr>
        <w:t>.</w:t>
      </w:r>
    </w:p>
    <w:p w14:paraId="30A7187C" w14:textId="77777777" w:rsidR="00055563" w:rsidRDefault="00055563" w:rsidP="00BF5E3A">
      <w:pPr>
        <w:jc w:val="center"/>
        <w:rPr>
          <w:rFonts w:eastAsiaTheme="minorEastAsia"/>
          <w:b/>
          <w:bCs/>
          <w:sz w:val="24"/>
          <w:szCs w:val="24"/>
        </w:rPr>
      </w:pPr>
    </w:p>
    <w:p w14:paraId="18CBF926" w14:textId="77777777" w:rsidR="00055563" w:rsidRDefault="00055563" w:rsidP="00BF5E3A">
      <w:pPr>
        <w:jc w:val="center"/>
        <w:rPr>
          <w:rFonts w:eastAsiaTheme="minorEastAsia"/>
          <w:b/>
          <w:bCs/>
          <w:sz w:val="24"/>
          <w:szCs w:val="24"/>
        </w:rPr>
      </w:pPr>
    </w:p>
    <w:p w14:paraId="00EDF746" w14:textId="77777777" w:rsidR="00055563" w:rsidRDefault="00055563" w:rsidP="00BF5E3A">
      <w:pPr>
        <w:jc w:val="center"/>
        <w:rPr>
          <w:rFonts w:eastAsiaTheme="minorEastAsia"/>
          <w:b/>
          <w:bCs/>
          <w:sz w:val="24"/>
          <w:szCs w:val="24"/>
        </w:rPr>
      </w:pPr>
    </w:p>
    <w:p w14:paraId="3BCEF833" w14:textId="77777777" w:rsidR="00055563" w:rsidRDefault="00055563" w:rsidP="006752CA">
      <w:pPr>
        <w:rPr>
          <w:rFonts w:eastAsiaTheme="minorEastAsia"/>
          <w:b/>
          <w:bCs/>
          <w:sz w:val="24"/>
          <w:szCs w:val="24"/>
        </w:rPr>
      </w:pPr>
    </w:p>
    <w:p w14:paraId="61355152" w14:textId="0886F0C2" w:rsidR="00BF5E3A" w:rsidRDefault="002F6A1F" w:rsidP="00BF5E3A">
      <w:pPr>
        <w:jc w:val="center"/>
        <w:rPr>
          <w:rFonts w:eastAsiaTheme="minorEastAsia"/>
          <w:b/>
          <w:bCs/>
          <w:sz w:val="24"/>
          <w:szCs w:val="24"/>
        </w:rPr>
      </w:pPr>
      <w:r w:rsidRPr="003B6C66">
        <w:rPr>
          <w:rFonts w:eastAsiaTheme="minorEastAsia"/>
          <w:b/>
          <w:bCs/>
          <w:sz w:val="24"/>
          <w:szCs w:val="24"/>
        </w:rPr>
        <w:lastRenderedPageBreak/>
        <w:t>Figure 3. Orthogonalized IRF of a shock in the variation of the exchange rate on inflation for different orders in the Cholesky decomposition</w:t>
      </w:r>
    </w:p>
    <w:p w14:paraId="50979A54" w14:textId="7C3C8232" w:rsidR="00BF5E3A" w:rsidRPr="003B6C66" w:rsidRDefault="00BF5E3A" w:rsidP="002F6A1F">
      <w:pPr>
        <w:jc w:val="center"/>
        <w:rPr>
          <w:rFonts w:eastAsiaTheme="minorEastAsia"/>
          <w:b/>
          <w:bCs/>
          <w:sz w:val="24"/>
          <w:szCs w:val="24"/>
        </w:rPr>
      </w:pPr>
      <w:r w:rsidRPr="00BF5E3A">
        <w:rPr>
          <w:rFonts w:eastAsiaTheme="minorEastAsia"/>
          <w:b/>
          <w:bCs/>
          <w:sz w:val="24"/>
          <w:szCs w:val="24"/>
        </w:rPr>
        <w:drawing>
          <wp:inline distT="0" distB="0" distL="0" distR="0" wp14:anchorId="672B46CA" wp14:editId="458BA468">
            <wp:extent cx="4485430" cy="326377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4940" cy="3270699"/>
                    </a:xfrm>
                    <a:prstGeom prst="rect">
                      <a:avLst/>
                    </a:prstGeom>
                    <a:noFill/>
                    <a:ln>
                      <a:noFill/>
                    </a:ln>
                  </pic:spPr>
                </pic:pic>
              </a:graphicData>
            </a:graphic>
          </wp:inline>
        </w:drawing>
      </w:r>
    </w:p>
    <w:p w14:paraId="21231D2A" w14:textId="257BBFE8" w:rsidR="002D31D5" w:rsidRDefault="002D31D5" w:rsidP="00C568D9">
      <w:pPr>
        <w:jc w:val="center"/>
        <w:rPr>
          <w:rFonts w:eastAsiaTheme="minorEastAsia"/>
          <w:sz w:val="24"/>
          <w:szCs w:val="24"/>
          <w:lang w:val="es-CL"/>
        </w:rPr>
      </w:pPr>
    </w:p>
    <w:p w14:paraId="3E67E54A" w14:textId="0CA5C9A1" w:rsidR="00516785" w:rsidRPr="003B6C66" w:rsidRDefault="00516785" w:rsidP="00FF01AC">
      <w:pPr>
        <w:jc w:val="both"/>
        <w:rPr>
          <w:rFonts w:eastAsiaTheme="minorEastAsia"/>
          <w:sz w:val="24"/>
          <w:szCs w:val="24"/>
        </w:rPr>
      </w:pPr>
      <w:r w:rsidRPr="003B6C66">
        <w:rPr>
          <w:rFonts w:eastAsiaTheme="minorEastAsia"/>
          <w:sz w:val="24"/>
          <w:szCs w:val="24"/>
        </w:rPr>
        <w:t xml:space="preserve">In the appendix the IRFs are presented without orthogonalizing. </w:t>
      </w:r>
      <w:r w:rsidR="00B54D3D">
        <w:rPr>
          <w:rFonts w:eastAsiaTheme="minorEastAsia"/>
          <w:sz w:val="24"/>
          <w:szCs w:val="24"/>
        </w:rPr>
        <w:t>Figure</w:t>
      </w:r>
      <w:r w:rsidR="00B54D3D" w:rsidRPr="00B54D3D">
        <w:rPr>
          <w:rFonts w:eastAsiaTheme="minorEastAsia"/>
          <w:sz w:val="24"/>
          <w:szCs w:val="24"/>
        </w:rPr>
        <w:t xml:space="preserve"> A1 shows that the effect on inflation of a 1% increase</w:t>
      </w:r>
      <w:r w:rsidR="00B54D3D">
        <w:rPr>
          <w:rFonts w:eastAsiaTheme="minorEastAsia"/>
          <w:sz w:val="24"/>
          <w:szCs w:val="24"/>
        </w:rPr>
        <w:t xml:space="preserve"> </w:t>
      </w:r>
      <w:r w:rsidR="00B54D3D" w:rsidRPr="00B54D3D">
        <w:rPr>
          <w:rFonts w:eastAsiaTheme="minorEastAsia"/>
          <w:sz w:val="24"/>
          <w:szCs w:val="24"/>
        </w:rPr>
        <w:t>shock in the variation of the nominal exchange rate is positive and reaches a peak of almost 0.03% in the second month approximately</w:t>
      </w:r>
      <w:r w:rsidR="00812EF7">
        <w:rPr>
          <w:rFonts w:eastAsiaTheme="minorEastAsia"/>
          <w:sz w:val="24"/>
          <w:szCs w:val="24"/>
        </w:rPr>
        <w:t>,</w:t>
      </w:r>
      <w:r w:rsidR="006F31C9">
        <w:rPr>
          <w:rFonts w:eastAsiaTheme="minorEastAsia"/>
          <w:sz w:val="24"/>
          <w:szCs w:val="24"/>
        </w:rPr>
        <w:t xml:space="preserve"> then</w:t>
      </w:r>
      <w:r w:rsidR="00812EF7">
        <w:rPr>
          <w:rFonts w:eastAsiaTheme="minorEastAsia"/>
          <w:sz w:val="24"/>
          <w:szCs w:val="24"/>
        </w:rPr>
        <w:t xml:space="preserve"> </w:t>
      </w:r>
      <w:r w:rsidR="00812EF7" w:rsidRPr="00812EF7">
        <w:rPr>
          <w:rFonts w:eastAsiaTheme="minorEastAsia"/>
          <w:sz w:val="24"/>
          <w:szCs w:val="24"/>
        </w:rPr>
        <w:t xml:space="preserve">it starts to fall monotonically </w:t>
      </w:r>
      <w:r w:rsidR="00320953">
        <w:rPr>
          <w:rFonts w:eastAsiaTheme="minorEastAsia"/>
          <w:sz w:val="24"/>
          <w:szCs w:val="24"/>
        </w:rPr>
        <w:t>to</w:t>
      </w:r>
      <w:r w:rsidR="00812EF7" w:rsidRPr="00812EF7">
        <w:rPr>
          <w:rFonts w:eastAsiaTheme="minorEastAsia"/>
          <w:sz w:val="24"/>
          <w:szCs w:val="24"/>
        </w:rPr>
        <w:t xml:space="preserve"> zero</w:t>
      </w:r>
      <w:r w:rsidR="00320953">
        <w:rPr>
          <w:rFonts w:eastAsiaTheme="minorEastAsia"/>
          <w:sz w:val="24"/>
          <w:szCs w:val="24"/>
        </w:rPr>
        <w:t xml:space="preserve"> reaching it</w:t>
      </w:r>
      <w:r w:rsidR="00812EF7" w:rsidRPr="00812EF7">
        <w:rPr>
          <w:rFonts w:eastAsiaTheme="minorEastAsia"/>
          <w:sz w:val="24"/>
          <w:szCs w:val="24"/>
        </w:rPr>
        <w:t xml:space="preserve"> in the seventh month</w:t>
      </w:r>
      <w:r w:rsidR="00812EF7">
        <w:rPr>
          <w:rFonts w:eastAsiaTheme="minorEastAsia"/>
          <w:sz w:val="24"/>
          <w:szCs w:val="24"/>
        </w:rPr>
        <w:t xml:space="preserve">. </w:t>
      </w:r>
      <w:r w:rsidRPr="003B6C66">
        <w:rPr>
          <w:rFonts w:eastAsiaTheme="minorEastAsia"/>
          <w:sz w:val="24"/>
          <w:szCs w:val="24"/>
        </w:rPr>
        <w:t xml:space="preserve">On the other hand, </w:t>
      </w:r>
      <w:r w:rsidR="00736FBB">
        <w:rPr>
          <w:rFonts w:eastAsiaTheme="minorEastAsia"/>
          <w:sz w:val="24"/>
          <w:szCs w:val="24"/>
        </w:rPr>
        <w:t>F</w:t>
      </w:r>
      <w:r w:rsidRPr="003B6C66">
        <w:rPr>
          <w:rFonts w:eastAsiaTheme="minorEastAsia"/>
          <w:sz w:val="24"/>
          <w:szCs w:val="24"/>
        </w:rPr>
        <w:t xml:space="preserve">igure A2 shows that the effect on inflation of an unexpected increase of 1% in the variation of the TPM is associated with an increase in inflation in the short term, reaching a peak of approximately 0.003% in the second month, after which it begins to </w:t>
      </w:r>
      <w:r w:rsidR="00B54D3D">
        <w:rPr>
          <w:rFonts w:eastAsiaTheme="minorEastAsia"/>
          <w:sz w:val="24"/>
          <w:szCs w:val="24"/>
        </w:rPr>
        <w:t>be not statistically significant</w:t>
      </w:r>
      <w:r w:rsidRPr="003B6C66">
        <w:rPr>
          <w:rFonts w:eastAsiaTheme="minorEastAsia"/>
          <w:sz w:val="24"/>
          <w:szCs w:val="24"/>
        </w:rPr>
        <w:t>.</w:t>
      </w:r>
    </w:p>
    <w:p w14:paraId="31710760" w14:textId="5C3C955C" w:rsidR="00320953" w:rsidRDefault="006A1458" w:rsidP="00FF01AC">
      <w:pPr>
        <w:jc w:val="both"/>
        <w:rPr>
          <w:rFonts w:eastAsiaTheme="minorEastAsia"/>
          <w:sz w:val="24"/>
          <w:szCs w:val="24"/>
        </w:rPr>
      </w:pPr>
      <w:r w:rsidRPr="003B6C66">
        <w:rPr>
          <w:rFonts w:eastAsiaTheme="minorEastAsia"/>
          <w:sz w:val="24"/>
          <w:szCs w:val="24"/>
        </w:rPr>
        <w:t>The results of the Granger causality test presented in Table 7 show with 90% confidence that</w:t>
      </w:r>
      <w:r w:rsidR="00516FAC">
        <w:rPr>
          <w:rFonts w:eastAsiaTheme="minorEastAsia"/>
          <w:sz w:val="24"/>
          <w:szCs w:val="24"/>
        </w:rPr>
        <w:t xml:space="preserve"> both</w:t>
      </w:r>
      <w:r w:rsidRPr="003B6C66">
        <w:rPr>
          <w:rFonts w:eastAsiaTheme="minorEastAsia"/>
          <w:sz w:val="24"/>
          <w:szCs w:val="24"/>
        </w:rPr>
        <w:t xml:space="preserve"> the variation of the TPM</w:t>
      </w:r>
      <w:r w:rsidR="00516FAC">
        <w:rPr>
          <w:rFonts w:eastAsiaTheme="minorEastAsia"/>
          <w:sz w:val="24"/>
          <w:szCs w:val="24"/>
        </w:rPr>
        <w:t xml:space="preserve"> and the variation </w:t>
      </w:r>
      <w:r w:rsidR="00516FAC" w:rsidRPr="003B6C66">
        <w:rPr>
          <w:rFonts w:eastAsiaTheme="minorEastAsia"/>
          <w:sz w:val="24"/>
          <w:szCs w:val="24"/>
        </w:rPr>
        <w:t>of the exchange rate</w:t>
      </w:r>
      <w:r w:rsidR="00E65F2F">
        <w:rPr>
          <w:rFonts w:eastAsiaTheme="minorEastAsia"/>
          <w:sz w:val="24"/>
          <w:szCs w:val="24"/>
        </w:rPr>
        <w:t xml:space="preserve"> (</w:t>
      </w:r>
      <w:r w:rsidR="00884756" w:rsidRPr="00884756">
        <w:rPr>
          <w:rFonts w:eastAsiaTheme="minorEastAsia"/>
          <w:sz w:val="24"/>
          <w:szCs w:val="24"/>
        </w:rPr>
        <w:t>and jointly these two variables</w:t>
      </w:r>
      <w:r w:rsidR="00E65F2F">
        <w:rPr>
          <w:rFonts w:eastAsiaTheme="minorEastAsia"/>
          <w:sz w:val="24"/>
          <w:szCs w:val="24"/>
        </w:rPr>
        <w:t>)</w:t>
      </w:r>
      <w:r w:rsidRPr="003B6C66">
        <w:rPr>
          <w:rFonts w:eastAsiaTheme="minorEastAsia"/>
          <w:sz w:val="24"/>
          <w:szCs w:val="24"/>
        </w:rPr>
        <w:t xml:space="preserve"> help predict inflation. </w:t>
      </w:r>
      <w:r w:rsidR="00F0378A">
        <w:rPr>
          <w:rFonts w:eastAsiaTheme="minorEastAsia"/>
          <w:sz w:val="24"/>
          <w:szCs w:val="24"/>
        </w:rPr>
        <w:t>On the other hand</w:t>
      </w:r>
      <w:r w:rsidRPr="003B6C66">
        <w:rPr>
          <w:rFonts w:eastAsiaTheme="minorEastAsia"/>
          <w:sz w:val="24"/>
          <w:szCs w:val="24"/>
        </w:rPr>
        <w:t>, the change in the exchange rate</w:t>
      </w:r>
      <w:r w:rsidR="003169EB">
        <w:rPr>
          <w:rFonts w:eastAsiaTheme="minorEastAsia"/>
          <w:sz w:val="24"/>
          <w:szCs w:val="24"/>
        </w:rPr>
        <w:t xml:space="preserve"> </w:t>
      </w:r>
      <w:r w:rsidR="005A2BC2">
        <w:rPr>
          <w:rFonts w:eastAsiaTheme="minorEastAsia"/>
          <w:sz w:val="24"/>
          <w:szCs w:val="24"/>
        </w:rPr>
        <w:t>(</w:t>
      </w:r>
      <w:r w:rsidR="003169EB">
        <w:rPr>
          <w:rFonts w:eastAsiaTheme="minorEastAsia"/>
          <w:sz w:val="24"/>
          <w:szCs w:val="24"/>
        </w:rPr>
        <w:t>and this change jointly with inflation</w:t>
      </w:r>
      <w:r w:rsidR="005A2BC2">
        <w:rPr>
          <w:rFonts w:eastAsiaTheme="minorEastAsia"/>
          <w:sz w:val="24"/>
          <w:szCs w:val="24"/>
        </w:rPr>
        <w:t>)</w:t>
      </w:r>
      <w:r w:rsidRPr="003B6C66">
        <w:rPr>
          <w:rFonts w:eastAsiaTheme="minorEastAsia"/>
          <w:sz w:val="24"/>
          <w:szCs w:val="24"/>
        </w:rPr>
        <w:t xml:space="preserve"> help predict the change in the </w:t>
      </w:r>
      <w:r w:rsidR="00DC75B2" w:rsidRPr="003B6C66">
        <w:rPr>
          <w:rFonts w:eastAsiaTheme="minorEastAsia"/>
          <w:sz w:val="24"/>
          <w:szCs w:val="24"/>
        </w:rPr>
        <w:t>TPM</w:t>
      </w:r>
      <w:r w:rsidRPr="003B6C66">
        <w:rPr>
          <w:rFonts w:eastAsiaTheme="minorEastAsia"/>
          <w:sz w:val="24"/>
          <w:szCs w:val="24"/>
        </w:rPr>
        <w:t xml:space="preserve">. As the variation of the </w:t>
      </w:r>
      <w:r w:rsidR="002976C5" w:rsidRPr="003B6C66">
        <w:rPr>
          <w:rFonts w:eastAsiaTheme="minorEastAsia"/>
          <w:sz w:val="24"/>
          <w:szCs w:val="24"/>
        </w:rPr>
        <w:t>TPM</w:t>
      </w:r>
      <w:r w:rsidRPr="003B6C66">
        <w:rPr>
          <w:rFonts w:eastAsiaTheme="minorEastAsia"/>
          <w:sz w:val="24"/>
          <w:szCs w:val="24"/>
        </w:rPr>
        <w:t xml:space="preserve"> is a control variable that is affected by the expectations of relevant macroeconomic variables, among them the variation of the exchange rate, this result is consistent and suggests that changes in the variation of the </w:t>
      </w:r>
      <w:r w:rsidR="002976C5" w:rsidRPr="003B6C66">
        <w:rPr>
          <w:rFonts w:eastAsiaTheme="minorEastAsia"/>
          <w:sz w:val="24"/>
          <w:szCs w:val="24"/>
        </w:rPr>
        <w:t xml:space="preserve">TPM </w:t>
      </w:r>
      <w:r w:rsidRPr="003B6C66">
        <w:rPr>
          <w:rFonts w:eastAsiaTheme="minorEastAsia"/>
          <w:sz w:val="24"/>
          <w:szCs w:val="24"/>
        </w:rPr>
        <w:t>are associated with changes in future inflation.</w:t>
      </w:r>
    </w:p>
    <w:p w14:paraId="1B3AC397" w14:textId="564BE3FB" w:rsidR="008D56E1" w:rsidRDefault="008D56E1" w:rsidP="00FF01AC">
      <w:pPr>
        <w:jc w:val="both"/>
        <w:rPr>
          <w:rFonts w:eastAsiaTheme="minorEastAsia"/>
          <w:sz w:val="24"/>
          <w:szCs w:val="24"/>
        </w:rPr>
      </w:pPr>
    </w:p>
    <w:p w14:paraId="387603AD" w14:textId="2277E87A" w:rsidR="006752CA" w:rsidRDefault="006752CA" w:rsidP="00FF01AC">
      <w:pPr>
        <w:jc w:val="both"/>
        <w:rPr>
          <w:rFonts w:eastAsiaTheme="minorEastAsia"/>
          <w:sz w:val="24"/>
          <w:szCs w:val="24"/>
        </w:rPr>
      </w:pPr>
    </w:p>
    <w:p w14:paraId="6D1E67FC" w14:textId="77777777" w:rsidR="006752CA" w:rsidRPr="003B6C66" w:rsidRDefault="006752CA" w:rsidP="00FF01AC">
      <w:pPr>
        <w:jc w:val="both"/>
        <w:rPr>
          <w:rFonts w:eastAsiaTheme="minorEastAsia"/>
          <w:sz w:val="24"/>
          <w:szCs w:val="24"/>
        </w:rPr>
      </w:pPr>
    </w:p>
    <w:p w14:paraId="3774C596" w14:textId="233499B5" w:rsidR="00FB09B7" w:rsidRPr="00FB09B7" w:rsidRDefault="00FB09B7" w:rsidP="00FF01AC">
      <w:pPr>
        <w:jc w:val="both"/>
        <w:rPr>
          <w:rFonts w:eastAsiaTheme="minorEastAsia"/>
          <w:b/>
          <w:bCs/>
          <w:sz w:val="24"/>
          <w:szCs w:val="24"/>
          <w:lang w:val="es-CL"/>
        </w:rPr>
      </w:pPr>
      <w:r w:rsidRPr="00FB09B7">
        <w:rPr>
          <w:rFonts w:eastAsiaTheme="minorEastAsia"/>
          <w:b/>
          <w:bCs/>
          <w:sz w:val="24"/>
          <w:szCs w:val="24"/>
          <w:lang w:val="es-CL"/>
        </w:rPr>
        <w:lastRenderedPageBreak/>
        <w:t>Tabl</w:t>
      </w:r>
      <w:r w:rsidR="00576DE8">
        <w:rPr>
          <w:rFonts w:eastAsiaTheme="minorEastAsia"/>
          <w:b/>
          <w:bCs/>
          <w:sz w:val="24"/>
          <w:szCs w:val="24"/>
          <w:lang w:val="es-CL"/>
        </w:rPr>
        <w:t>e</w:t>
      </w:r>
      <w:r w:rsidRPr="00FB09B7">
        <w:rPr>
          <w:rFonts w:eastAsiaTheme="minorEastAsia"/>
          <w:b/>
          <w:bCs/>
          <w:sz w:val="24"/>
          <w:szCs w:val="24"/>
          <w:lang w:val="es-CL"/>
        </w:rPr>
        <w:t xml:space="preserve"> </w:t>
      </w:r>
      <w:r w:rsidR="0040482F">
        <w:rPr>
          <w:rFonts w:eastAsiaTheme="minorEastAsia"/>
          <w:b/>
          <w:bCs/>
          <w:sz w:val="24"/>
          <w:szCs w:val="24"/>
          <w:lang w:val="es-CL"/>
        </w:rPr>
        <w:t>7</w:t>
      </w:r>
      <w:r w:rsidRPr="00FB09B7">
        <w:rPr>
          <w:rFonts w:eastAsiaTheme="minorEastAsia"/>
          <w:b/>
          <w:bCs/>
          <w:sz w:val="24"/>
          <w:szCs w:val="24"/>
          <w:lang w:val="es-CL"/>
        </w:rPr>
        <w:t xml:space="preserve">. </w:t>
      </w:r>
      <w:r w:rsidR="0069505E">
        <w:rPr>
          <w:rFonts w:eastAsiaTheme="minorEastAsia"/>
          <w:b/>
          <w:bCs/>
          <w:sz w:val="24"/>
          <w:szCs w:val="24"/>
          <w:lang w:val="es-CL"/>
        </w:rPr>
        <w:t>Granger</w:t>
      </w:r>
      <w:r w:rsidR="00576DE8">
        <w:rPr>
          <w:rFonts w:eastAsiaTheme="minorEastAsia"/>
          <w:b/>
          <w:bCs/>
          <w:sz w:val="24"/>
          <w:szCs w:val="24"/>
          <w:lang w:val="es-CL"/>
        </w:rPr>
        <w:t xml:space="preserve"> causality test</w:t>
      </w:r>
    </w:p>
    <w:tbl>
      <w:tblPr>
        <w:tblW w:w="8684" w:type="dxa"/>
        <w:tblCellMar>
          <w:left w:w="70" w:type="dxa"/>
          <w:right w:w="70" w:type="dxa"/>
        </w:tblCellMar>
        <w:tblLook w:val="04A0" w:firstRow="1" w:lastRow="0" w:firstColumn="1" w:lastColumn="0" w:noHBand="0" w:noVBand="1"/>
      </w:tblPr>
      <w:tblGrid>
        <w:gridCol w:w="3256"/>
        <w:gridCol w:w="2015"/>
        <w:gridCol w:w="1086"/>
        <w:gridCol w:w="947"/>
        <w:gridCol w:w="1380"/>
      </w:tblGrid>
      <w:tr w:rsidR="002B71F9" w:rsidRPr="007E1E74" w14:paraId="4844966E" w14:textId="77777777" w:rsidTr="009F38E9">
        <w:trPr>
          <w:trHeight w:val="191"/>
        </w:trPr>
        <w:tc>
          <w:tcPr>
            <w:tcW w:w="325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38746298" w14:textId="359007D4" w:rsidR="007E1E74" w:rsidRPr="007E1E74" w:rsidRDefault="00576DE8" w:rsidP="00576DE8">
            <w:pPr>
              <w:spacing w:after="0" w:line="240" w:lineRule="auto"/>
              <w:rPr>
                <w:rFonts w:ascii="Calibri" w:eastAsia="Times New Roman" w:hAnsi="Calibri" w:cs="Calibri"/>
                <w:b/>
                <w:bCs/>
                <w:color w:val="000000"/>
                <w:lang w:val="es-CL" w:eastAsia="es-CL"/>
              </w:rPr>
            </w:pPr>
            <w:r>
              <w:rPr>
                <w:rFonts w:ascii="Calibri" w:eastAsia="Times New Roman" w:hAnsi="Calibri" w:cs="Calibri"/>
                <w:b/>
                <w:bCs/>
                <w:color w:val="000000"/>
                <w:lang w:val="es-CL" w:eastAsia="es-CL"/>
              </w:rPr>
              <w:t>N</w:t>
            </w:r>
            <w:r w:rsidRPr="00576DE8">
              <w:rPr>
                <w:rFonts w:ascii="Calibri" w:eastAsia="Times New Roman" w:hAnsi="Calibri" w:cs="Calibri"/>
                <w:b/>
                <w:bCs/>
                <w:color w:val="000000"/>
                <w:lang w:val="es-CL" w:eastAsia="es-CL"/>
              </w:rPr>
              <w:t>ull hypothesis</w:t>
            </w:r>
          </w:p>
        </w:tc>
        <w:tc>
          <w:tcPr>
            <w:tcW w:w="2015"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63F72EC5" w14:textId="77777777" w:rsidR="007E1E74" w:rsidRPr="007E1E74" w:rsidRDefault="007E1E74" w:rsidP="007E1E74">
            <w:pPr>
              <w:spacing w:after="0" w:line="240" w:lineRule="auto"/>
              <w:rPr>
                <w:rFonts w:ascii="Calibri" w:eastAsia="Times New Roman" w:hAnsi="Calibri" w:cs="Calibri"/>
                <w:b/>
                <w:bCs/>
                <w:color w:val="000000"/>
                <w:lang w:val="es-CL" w:eastAsia="es-CL"/>
              </w:rPr>
            </w:pPr>
            <w:r w:rsidRPr="007E1E74">
              <w:rPr>
                <w:rFonts w:ascii="Calibri" w:eastAsia="Times New Roman" w:hAnsi="Calibri" w:cs="Calibri"/>
                <w:b/>
                <w:bCs/>
                <w:color w:val="000000"/>
                <w:lang w:val="es-CL" w:eastAsia="es-CL"/>
              </w:rPr>
              <w:t> </w:t>
            </w:r>
          </w:p>
        </w:tc>
        <w:tc>
          <w:tcPr>
            <w:tcW w:w="1086"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1CCA1555" w14:textId="77777777" w:rsidR="007E1E74" w:rsidRPr="007E1E74" w:rsidRDefault="007E1E74" w:rsidP="007E1E74">
            <w:pPr>
              <w:spacing w:after="0" w:line="240" w:lineRule="auto"/>
              <w:rPr>
                <w:rFonts w:ascii="Calibri" w:eastAsia="Times New Roman" w:hAnsi="Calibri" w:cs="Calibri"/>
                <w:b/>
                <w:bCs/>
                <w:color w:val="000000"/>
                <w:lang w:val="es-CL" w:eastAsia="es-CL"/>
              </w:rPr>
            </w:pPr>
            <w:r w:rsidRPr="007E1E74">
              <w:rPr>
                <w:rFonts w:ascii="Calibri" w:eastAsia="Times New Roman" w:hAnsi="Calibri" w:cs="Calibri"/>
                <w:b/>
                <w:bCs/>
                <w:color w:val="000000"/>
                <w:lang w:val="es-CL" w:eastAsia="es-CL"/>
              </w:rPr>
              <w:t> </w:t>
            </w:r>
          </w:p>
        </w:tc>
        <w:tc>
          <w:tcPr>
            <w:tcW w:w="947"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0FA12896" w14:textId="77777777" w:rsidR="007E1E74" w:rsidRPr="007E1E74" w:rsidRDefault="007E1E74" w:rsidP="007E1E74">
            <w:pPr>
              <w:spacing w:after="0" w:line="240" w:lineRule="auto"/>
              <w:rPr>
                <w:rFonts w:ascii="Calibri" w:eastAsia="Times New Roman" w:hAnsi="Calibri" w:cs="Calibri"/>
                <w:b/>
                <w:bCs/>
                <w:color w:val="000000"/>
                <w:lang w:val="es-CL" w:eastAsia="es-CL"/>
              </w:rPr>
            </w:pPr>
            <w:r w:rsidRPr="007E1E74">
              <w:rPr>
                <w:rFonts w:ascii="Calibri" w:eastAsia="Times New Roman" w:hAnsi="Calibri" w:cs="Calibri"/>
                <w:b/>
                <w:bCs/>
                <w:color w:val="000000"/>
                <w:lang w:val="es-CL" w:eastAsia="es-CL"/>
              </w:rPr>
              <w:t>chi2</w:t>
            </w:r>
          </w:p>
        </w:tc>
        <w:tc>
          <w:tcPr>
            <w:tcW w:w="1380"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349EB9A4" w14:textId="77777777" w:rsidR="007E1E74" w:rsidRPr="007E1E74" w:rsidRDefault="007E1E74" w:rsidP="007E1E74">
            <w:pPr>
              <w:spacing w:after="0" w:line="240" w:lineRule="auto"/>
              <w:rPr>
                <w:rFonts w:ascii="Calibri" w:eastAsia="Times New Roman" w:hAnsi="Calibri" w:cs="Calibri"/>
                <w:b/>
                <w:bCs/>
                <w:color w:val="000000"/>
                <w:lang w:val="es-CL" w:eastAsia="es-CL"/>
              </w:rPr>
            </w:pPr>
            <w:r w:rsidRPr="007E1E74">
              <w:rPr>
                <w:rFonts w:ascii="Calibri" w:eastAsia="Times New Roman" w:hAnsi="Calibri" w:cs="Calibri"/>
                <w:b/>
                <w:bCs/>
                <w:color w:val="000000"/>
                <w:lang w:val="es-CL" w:eastAsia="es-CL"/>
              </w:rPr>
              <w:t>Prob &gt; chi2</w:t>
            </w:r>
          </w:p>
        </w:tc>
      </w:tr>
      <w:tr w:rsidR="00317696" w:rsidRPr="007E1E74" w14:paraId="371CBBFC" w14:textId="77777777" w:rsidTr="00126B08">
        <w:trPr>
          <w:trHeight w:val="19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A4BC93D" w14:textId="0269EFFE" w:rsidR="00317696" w:rsidRPr="007E1E74" w:rsidRDefault="00317696" w:rsidP="00317696">
            <w:pPr>
              <w:spacing w:after="0" w:line="240" w:lineRule="auto"/>
              <w:rPr>
                <w:rFonts w:ascii="Calibri" w:eastAsia="Times New Roman" w:hAnsi="Calibri" w:cs="Calibri"/>
                <w:color w:val="000000"/>
                <w:lang w:val="es-CL" w:eastAsia="es-CL"/>
              </w:rPr>
            </w:pPr>
            <w:r w:rsidRPr="007E1E74">
              <w:rPr>
                <w:rFonts w:ascii="Calibri" w:eastAsia="Times New Roman" w:hAnsi="Calibri" w:cs="Calibri"/>
                <w:color w:val="000000"/>
                <w:lang w:val="es-CL" w:eastAsia="es-CL"/>
              </w:rPr>
              <w:t>Infla</w:t>
            </w:r>
            <w:r>
              <w:rPr>
                <w:rFonts w:ascii="Calibri" w:eastAsia="Times New Roman" w:hAnsi="Calibri" w:cs="Calibri"/>
                <w:color w:val="000000"/>
                <w:lang w:val="es-CL" w:eastAsia="es-CL"/>
              </w:rPr>
              <w:t>tion</w:t>
            </w:r>
          </w:p>
        </w:tc>
        <w:tc>
          <w:tcPr>
            <w:tcW w:w="2015" w:type="dxa"/>
            <w:tcBorders>
              <w:top w:val="nil"/>
              <w:left w:val="nil"/>
              <w:bottom w:val="single" w:sz="4" w:space="0" w:color="auto"/>
              <w:right w:val="single" w:sz="4" w:space="0" w:color="auto"/>
            </w:tcBorders>
            <w:shd w:val="clear" w:color="auto" w:fill="auto"/>
            <w:noWrap/>
            <w:vAlign w:val="bottom"/>
            <w:hideMark/>
          </w:tcPr>
          <w:p w14:paraId="1873E362" w14:textId="6E5F2039" w:rsidR="00317696" w:rsidRPr="007E1E74" w:rsidRDefault="00317696" w:rsidP="00317696">
            <w:pPr>
              <w:spacing w:after="0" w:line="240" w:lineRule="auto"/>
              <w:rPr>
                <w:rFonts w:ascii="Calibri" w:eastAsia="Times New Roman" w:hAnsi="Calibri" w:cs="Calibri"/>
                <w:color w:val="000000"/>
                <w:lang w:val="es-CL" w:eastAsia="es-CL"/>
              </w:rPr>
            </w:pPr>
            <w:r w:rsidRPr="009F38E9">
              <w:rPr>
                <w:rFonts w:ascii="Calibri" w:eastAsia="Times New Roman" w:hAnsi="Calibri" w:cs="Calibri"/>
                <w:color w:val="000000"/>
                <w:lang w:val="es-CL" w:eastAsia="es-CL"/>
              </w:rPr>
              <w:t>does not cause to</w:t>
            </w:r>
          </w:p>
        </w:tc>
        <w:tc>
          <w:tcPr>
            <w:tcW w:w="1086" w:type="dxa"/>
            <w:tcBorders>
              <w:top w:val="nil"/>
              <w:left w:val="nil"/>
              <w:bottom w:val="single" w:sz="4" w:space="0" w:color="auto"/>
              <w:right w:val="single" w:sz="4" w:space="0" w:color="auto"/>
            </w:tcBorders>
            <w:shd w:val="clear" w:color="auto" w:fill="auto"/>
            <w:noWrap/>
            <w:vAlign w:val="bottom"/>
            <w:hideMark/>
          </w:tcPr>
          <w:p w14:paraId="30E6DF40" w14:textId="6EB0F3D6" w:rsidR="00317696" w:rsidRPr="001D7A66" w:rsidRDefault="00317696" w:rsidP="00317696">
            <w:pPr>
              <w:spacing w:after="0" w:line="240" w:lineRule="auto"/>
              <w:rPr>
                <w:rFonts w:ascii="Calibri" w:eastAsia="Times New Roman" w:hAnsi="Calibri" w:cs="Calibri"/>
                <w:color w:val="000000"/>
                <w:lang w:val="es-CL" w:eastAsia="es-CL"/>
              </w:rPr>
            </w:pPr>
            <m:oMathPara>
              <m:oMathParaPr>
                <m:jc m:val="left"/>
              </m:oMathParaPr>
              <m:oMath>
                <m:r>
                  <w:rPr>
                    <w:rFonts w:ascii="Cambria Math" w:eastAsia="Times New Roman" w:hAnsi="Cambria Math" w:cs="Calibri"/>
                    <w:color w:val="000000"/>
                  </w:rPr>
                  <m:t>∆E</m:t>
                </m:r>
              </m:oMath>
            </m:oMathPara>
          </w:p>
        </w:tc>
        <w:tc>
          <w:tcPr>
            <w:tcW w:w="947" w:type="dxa"/>
            <w:tcBorders>
              <w:top w:val="nil"/>
              <w:left w:val="nil"/>
              <w:bottom w:val="single" w:sz="4" w:space="0" w:color="auto"/>
              <w:right w:val="single" w:sz="4" w:space="0" w:color="auto"/>
            </w:tcBorders>
            <w:shd w:val="clear" w:color="auto" w:fill="auto"/>
            <w:noWrap/>
            <w:hideMark/>
          </w:tcPr>
          <w:p w14:paraId="240F5A04" w14:textId="1DCFE6D7" w:rsidR="00317696" w:rsidRPr="007E1E74" w:rsidRDefault="00317696" w:rsidP="00317696">
            <w:pPr>
              <w:spacing w:after="0" w:line="240" w:lineRule="auto"/>
              <w:jc w:val="right"/>
              <w:rPr>
                <w:rFonts w:ascii="Calibri" w:eastAsia="Times New Roman" w:hAnsi="Calibri" w:cs="Calibri"/>
                <w:color w:val="000000"/>
                <w:lang w:val="es-CL" w:eastAsia="es-CL"/>
              </w:rPr>
            </w:pPr>
            <w:r w:rsidRPr="00382315">
              <w:t>0.71468</w:t>
            </w:r>
          </w:p>
        </w:tc>
        <w:tc>
          <w:tcPr>
            <w:tcW w:w="1380" w:type="dxa"/>
            <w:tcBorders>
              <w:top w:val="nil"/>
              <w:left w:val="nil"/>
              <w:bottom w:val="single" w:sz="4" w:space="0" w:color="auto"/>
              <w:right w:val="single" w:sz="4" w:space="0" w:color="auto"/>
            </w:tcBorders>
            <w:shd w:val="clear" w:color="auto" w:fill="auto"/>
            <w:noWrap/>
            <w:hideMark/>
          </w:tcPr>
          <w:p w14:paraId="7BFD1508" w14:textId="2479F9A4" w:rsidR="00317696" w:rsidRPr="007E1E74" w:rsidRDefault="00317696" w:rsidP="00317696">
            <w:pPr>
              <w:spacing w:after="0" w:line="240" w:lineRule="auto"/>
              <w:jc w:val="right"/>
              <w:rPr>
                <w:rFonts w:ascii="Calibri" w:eastAsia="Times New Roman" w:hAnsi="Calibri" w:cs="Calibri"/>
                <w:color w:val="000000"/>
                <w:lang w:val="es-CL" w:eastAsia="es-CL"/>
              </w:rPr>
            </w:pPr>
            <w:r w:rsidRPr="00382315">
              <w:t>0.398</w:t>
            </w:r>
          </w:p>
        </w:tc>
      </w:tr>
      <w:tr w:rsidR="00317696" w:rsidRPr="007E1E74" w14:paraId="63197A0A" w14:textId="77777777" w:rsidTr="00126B08">
        <w:trPr>
          <w:trHeight w:val="19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464718F" w14:textId="7C614EBD" w:rsidR="00317696" w:rsidRPr="00D466DA" w:rsidRDefault="00317696" w:rsidP="00317696">
            <w:pPr>
              <w:spacing w:after="0" w:line="240" w:lineRule="auto"/>
              <w:rPr>
                <w:rFonts w:ascii="Calibri" w:eastAsia="Times New Roman" w:hAnsi="Calibri" w:cs="Calibri"/>
                <w:bCs/>
                <w:color w:val="000000"/>
                <w:lang w:val="es-CL" w:eastAsia="es-CL"/>
              </w:rPr>
            </w:pPr>
            <m:oMath>
              <m:r>
                <w:rPr>
                  <w:rFonts w:ascii="Cambria Math" w:eastAsia="Times New Roman" w:hAnsi="Cambria Math" w:cs="Calibri"/>
                  <w:color w:val="000000"/>
                </w:rPr>
                <m:t>∆</m:t>
              </m:r>
            </m:oMath>
            <w:r w:rsidRPr="00D466DA">
              <w:rPr>
                <w:rFonts w:ascii="Calibri" w:eastAsia="Times New Roman" w:hAnsi="Calibri" w:cs="Calibri"/>
                <w:bCs/>
                <w:color w:val="000000"/>
                <w:lang w:val="es-CL" w:eastAsia="es-CL"/>
              </w:rPr>
              <w:t>TPM</w:t>
            </w:r>
          </w:p>
        </w:tc>
        <w:tc>
          <w:tcPr>
            <w:tcW w:w="2015" w:type="dxa"/>
            <w:tcBorders>
              <w:top w:val="nil"/>
              <w:left w:val="nil"/>
              <w:bottom w:val="single" w:sz="4" w:space="0" w:color="auto"/>
              <w:right w:val="single" w:sz="4" w:space="0" w:color="auto"/>
            </w:tcBorders>
            <w:shd w:val="clear" w:color="auto" w:fill="auto"/>
            <w:noWrap/>
            <w:vAlign w:val="bottom"/>
            <w:hideMark/>
          </w:tcPr>
          <w:p w14:paraId="7C6571EF" w14:textId="728906DB" w:rsidR="00317696" w:rsidRPr="007E1E74" w:rsidRDefault="00317696" w:rsidP="00317696">
            <w:pPr>
              <w:spacing w:after="0" w:line="240" w:lineRule="auto"/>
              <w:rPr>
                <w:rFonts w:ascii="Calibri" w:eastAsia="Times New Roman" w:hAnsi="Calibri" w:cs="Calibri"/>
                <w:color w:val="000000"/>
                <w:lang w:val="es-CL" w:eastAsia="es-CL"/>
              </w:rPr>
            </w:pPr>
            <w:r w:rsidRPr="009F38E9">
              <w:rPr>
                <w:rFonts w:ascii="Calibri" w:eastAsia="Times New Roman" w:hAnsi="Calibri" w:cs="Calibri"/>
                <w:color w:val="000000"/>
                <w:lang w:val="es-CL" w:eastAsia="es-CL"/>
              </w:rPr>
              <w:t>does not cause to</w:t>
            </w:r>
          </w:p>
        </w:tc>
        <w:tc>
          <w:tcPr>
            <w:tcW w:w="1086" w:type="dxa"/>
            <w:tcBorders>
              <w:top w:val="nil"/>
              <w:left w:val="nil"/>
              <w:bottom w:val="single" w:sz="4" w:space="0" w:color="auto"/>
              <w:right w:val="single" w:sz="4" w:space="0" w:color="auto"/>
            </w:tcBorders>
            <w:shd w:val="clear" w:color="auto" w:fill="auto"/>
            <w:noWrap/>
            <w:vAlign w:val="bottom"/>
            <w:hideMark/>
          </w:tcPr>
          <w:p w14:paraId="5AD0C8BF" w14:textId="020D88E1" w:rsidR="00317696" w:rsidRPr="001D7A66" w:rsidRDefault="00317696" w:rsidP="00317696">
            <w:pPr>
              <w:spacing w:after="0" w:line="240" w:lineRule="auto"/>
              <w:rPr>
                <w:rFonts w:ascii="Calibri" w:eastAsia="Times New Roman" w:hAnsi="Calibri" w:cs="Calibri"/>
                <w:color w:val="000000"/>
                <w:lang w:val="es-CL" w:eastAsia="es-CL"/>
              </w:rPr>
            </w:pPr>
            <m:oMathPara>
              <m:oMathParaPr>
                <m:jc m:val="left"/>
              </m:oMathParaPr>
              <m:oMath>
                <m:r>
                  <w:rPr>
                    <w:rFonts w:ascii="Cambria Math" w:eastAsia="Times New Roman" w:hAnsi="Cambria Math" w:cs="Calibri"/>
                    <w:color w:val="000000"/>
                  </w:rPr>
                  <m:t>∆E</m:t>
                </m:r>
              </m:oMath>
            </m:oMathPara>
          </w:p>
        </w:tc>
        <w:tc>
          <w:tcPr>
            <w:tcW w:w="947" w:type="dxa"/>
            <w:tcBorders>
              <w:top w:val="nil"/>
              <w:left w:val="nil"/>
              <w:bottom w:val="single" w:sz="4" w:space="0" w:color="auto"/>
              <w:right w:val="single" w:sz="4" w:space="0" w:color="auto"/>
            </w:tcBorders>
            <w:shd w:val="clear" w:color="auto" w:fill="auto"/>
            <w:noWrap/>
            <w:hideMark/>
          </w:tcPr>
          <w:p w14:paraId="16B22905" w14:textId="77DCD555" w:rsidR="00317696" w:rsidRPr="007E1E74" w:rsidRDefault="00317696" w:rsidP="00317696">
            <w:pPr>
              <w:spacing w:after="0" w:line="240" w:lineRule="auto"/>
              <w:jc w:val="right"/>
              <w:rPr>
                <w:rFonts w:ascii="Calibri" w:eastAsia="Times New Roman" w:hAnsi="Calibri" w:cs="Calibri"/>
                <w:color w:val="000000"/>
                <w:lang w:val="es-CL" w:eastAsia="es-CL"/>
              </w:rPr>
            </w:pPr>
            <w:r w:rsidRPr="00382315">
              <w:t>0.57277</w:t>
            </w:r>
          </w:p>
        </w:tc>
        <w:tc>
          <w:tcPr>
            <w:tcW w:w="1380" w:type="dxa"/>
            <w:tcBorders>
              <w:top w:val="nil"/>
              <w:left w:val="nil"/>
              <w:bottom w:val="single" w:sz="4" w:space="0" w:color="auto"/>
              <w:right w:val="single" w:sz="4" w:space="0" w:color="auto"/>
            </w:tcBorders>
            <w:shd w:val="clear" w:color="auto" w:fill="auto"/>
            <w:noWrap/>
            <w:hideMark/>
          </w:tcPr>
          <w:p w14:paraId="4BDC724B" w14:textId="55022A0C" w:rsidR="00317696" w:rsidRPr="007E1E74" w:rsidRDefault="00317696" w:rsidP="00317696">
            <w:pPr>
              <w:spacing w:after="0" w:line="240" w:lineRule="auto"/>
              <w:jc w:val="right"/>
              <w:rPr>
                <w:rFonts w:ascii="Calibri" w:eastAsia="Times New Roman" w:hAnsi="Calibri" w:cs="Calibri"/>
                <w:color w:val="000000"/>
                <w:lang w:val="es-CL" w:eastAsia="es-CL"/>
              </w:rPr>
            </w:pPr>
            <w:r w:rsidRPr="00382315">
              <w:t>0.449</w:t>
            </w:r>
          </w:p>
        </w:tc>
      </w:tr>
      <w:tr w:rsidR="00317696" w:rsidRPr="007E1E74" w14:paraId="7901F4DF" w14:textId="77777777" w:rsidTr="00126B08">
        <w:trPr>
          <w:trHeight w:val="19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36BC6D2" w14:textId="0FD76D18" w:rsidR="00317696" w:rsidRPr="007E1E74" w:rsidRDefault="00317696" w:rsidP="00317696">
            <w:pPr>
              <w:spacing w:after="0" w:line="240" w:lineRule="auto"/>
              <w:rPr>
                <w:rFonts w:ascii="Calibri" w:eastAsia="Times New Roman" w:hAnsi="Calibri" w:cs="Calibri"/>
                <w:color w:val="000000"/>
                <w:lang w:val="es-CL" w:eastAsia="es-CL"/>
              </w:rPr>
            </w:pPr>
            <w:r w:rsidRPr="007E1E74">
              <w:rPr>
                <w:rFonts w:ascii="Calibri" w:eastAsia="Times New Roman" w:hAnsi="Calibri" w:cs="Calibri"/>
                <w:color w:val="000000"/>
                <w:lang w:val="es-CL" w:eastAsia="es-CL"/>
              </w:rPr>
              <w:t>Infla</w:t>
            </w:r>
            <w:r>
              <w:rPr>
                <w:rFonts w:ascii="Calibri" w:eastAsia="Times New Roman" w:hAnsi="Calibri" w:cs="Calibri"/>
                <w:color w:val="000000"/>
                <w:lang w:val="es-CL" w:eastAsia="es-CL"/>
              </w:rPr>
              <w:t>tion</w:t>
            </w:r>
            <w:r w:rsidRPr="007E1E74">
              <w:rPr>
                <w:rFonts w:ascii="Calibri" w:eastAsia="Times New Roman" w:hAnsi="Calibri" w:cs="Calibri"/>
                <w:color w:val="000000"/>
                <w:lang w:val="es-CL" w:eastAsia="es-CL"/>
              </w:rPr>
              <w:t xml:space="preserve"> </w:t>
            </w:r>
            <w:r>
              <w:rPr>
                <w:rFonts w:ascii="Calibri" w:eastAsia="Times New Roman" w:hAnsi="Calibri" w:cs="Calibri"/>
                <w:color w:val="000000"/>
                <w:lang w:val="es-CL" w:eastAsia="es-CL"/>
              </w:rPr>
              <w:t>and</w:t>
            </w:r>
            <w:r w:rsidRPr="007E1E74">
              <w:rPr>
                <w:rFonts w:ascii="Calibri" w:eastAsia="Times New Roman" w:hAnsi="Calibri" w:cs="Calibri"/>
                <w:color w:val="000000"/>
                <w:lang w:val="es-CL" w:eastAsia="es-CL"/>
              </w:rPr>
              <w:t xml:space="preserve"> </w:t>
            </w:r>
            <m:oMath>
              <m:r>
                <w:rPr>
                  <w:rFonts w:ascii="Cambria Math" w:eastAsia="Times New Roman" w:hAnsi="Cambria Math" w:cs="Calibri"/>
                  <w:color w:val="000000"/>
                </w:rPr>
                <m:t>∆</m:t>
              </m:r>
            </m:oMath>
            <w:r w:rsidRPr="005D2EE5">
              <w:rPr>
                <w:rFonts w:ascii="Calibri" w:eastAsia="Times New Roman" w:hAnsi="Calibri" w:cs="Calibri"/>
                <w:bCs/>
                <w:color w:val="000000"/>
                <w:lang w:val="es-CL" w:eastAsia="es-CL"/>
              </w:rPr>
              <w:t>TPM</w:t>
            </w:r>
            <w:r w:rsidRPr="007E1E74">
              <w:rPr>
                <w:rFonts w:ascii="Calibri" w:eastAsia="Times New Roman" w:hAnsi="Calibri" w:cs="Calibri"/>
                <w:color w:val="000000"/>
                <w:lang w:val="es-CL" w:eastAsia="es-CL"/>
              </w:rPr>
              <w:t xml:space="preserve"> </w:t>
            </w:r>
            <w:r>
              <w:rPr>
                <w:rFonts w:ascii="Calibri" w:eastAsia="Times New Roman" w:hAnsi="Calibri" w:cs="Calibri"/>
                <w:color w:val="000000"/>
                <w:lang w:val="es-CL" w:eastAsia="es-CL"/>
              </w:rPr>
              <w:t>jointly</w:t>
            </w:r>
          </w:p>
        </w:tc>
        <w:tc>
          <w:tcPr>
            <w:tcW w:w="2015" w:type="dxa"/>
            <w:tcBorders>
              <w:top w:val="nil"/>
              <w:left w:val="nil"/>
              <w:bottom w:val="single" w:sz="4" w:space="0" w:color="auto"/>
              <w:right w:val="single" w:sz="4" w:space="0" w:color="auto"/>
            </w:tcBorders>
            <w:shd w:val="clear" w:color="auto" w:fill="auto"/>
            <w:noWrap/>
            <w:vAlign w:val="bottom"/>
            <w:hideMark/>
          </w:tcPr>
          <w:p w14:paraId="38B7436D" w14:textId="3E4A0AFC" w:rsidR="00317696" w:rsidRPr="007E1E74" w:rsidRDefault="00317696" w:rsidP="00317696">
            <w:pPr>
              <w:spacing w:after="0" w:line="240" w:lineRule="auto"/>
              <w:rPr>
                <w:rFonts w:ascii="Calibri" w:eastAsia="Times New Roman" w:hAnsi="Calibri" w:cs="Calibri"/>
                <w:color w:val="000000"/>
                <w:lang w:val="es-CL" w:eastAsia="es-CL"/>
              </w:rPr>
            </w:pPr>
            <w:r w:rsidRPr="009F38E9">
              <w:rPr>
                <w:rFonts w:ascii="Calibri" w:eastAsia="Times New Roman" w:hAnsi="Calibri" w:cs="Calibri"/>
                <w:color w:val="000000"/>
                <w:lang w:val="es-CL" w:eastAsia="es-CL"/>
              </w:rPr>
              <w:t>does not cause to</w:t>
            </w:r>
          </w:p>
        </w:tc>
        <w:tc>
          <w:tcPr>
            <w:tcW w:w="1086" w:type="dxa"/>
            <w:tcBorders>
              <w:top w:val="nil"/>
              <w:left w:val="nil"/>
              <w:bottom w:val="single" w:sz="4" w:space="0" w:color="auto"/>
              <w:right w:val="single" w:sz="4" w:space="0" w:color="auto"/>
            </w:tcBorders>
            <w:shd w:val="clear" w:color="auto" w:fill="auto"/>
            <w:noWrap/>
            <w:vAlign w:val="bottom"/>
            <w:hideMark/>
          </w:tcPr>
          <w:p w14:paraId="69A27DF8" w14:textId="6EDEED8B" w:rsidR="00317696" w:rsidRPr="001D7A66" w:rsidRDefault="00317696" w:rsidP="00317696">
            <w:pPr>
              <w:spacing w:after="0" w:line="240" w:lineRule="auto"/>
              <w:rPr>
                <w:rFonts w:ascii="Calibri" w:eastAsia="Times New Roman" w:hAnsi="Calibri" w:cs="Calibri"/>
                <w:color w:val="000000"/>
                <w:lang w:val="es-CL" w:eastAsia="es-CL"/>
              </w:rPr>
            </w:pPr>
            <m:oMathPara>
              <m:oMathParaPr>
                <m:jc m:val="left"/>
              </m:oMathParaPr>
              <m:oMath>
                <m:r>
                  <w:rPr>
                    <w:rFonts w:ascii="Cambria Math" w:eastAsia="Times New Roman" w:hAnsi="Cambria Math" w:cs="Calibri"/>
                    <w:color w:val="000000"/>
                  </w:rPr>
                  <m:t>∆E</m:t>
                </m:r>
              </m:oMath>
            </m:oMathPara>
          </w:p>
        </w:tc>
        <w:tc>
          <w:tcPr>
            <w:tcW w:w="947" w:type="dxa"/>
            <w:tcBorders>
              <w:top w:val="nil"/>
              <w:left w:val="nil"/>
              <w:bottom w:val="single" w:sz="4" w:space="0" w:color="auto"/>
              <w:right w:val="single" w:sz="4" w:space="0" w:color="auto"/>
            </w:tcBorders>
            <w:shd w:val="clear" w:color="auto" w:fill="auto"/>
            <w:noWrap/>
            <w:hideMark/>
          </w:tcPr>
          <w:p w14:paraId="19C776FA" w14:textId="4DC4CFE6" w:rsidR="00317696" w:rsidRPr="007E1E74" w:rsidRDefault="00317696" w:rsidP="00317696">
            <w:pPr>
              <w:spacing w:after="0" w:line="240" w:lineRule="auto"/>
              <w:jc w:val="right"/>
              <w:rPr>
                <w:rFonts w:ascii="Calibri" w:eastAsia="Times New Roman" w:hAnsi="Calibri" w:cs="Calibri"/>
                <w:color w:val="000000"/>
                <w:lang w:val="es-CL" w:eastAsia="es-CL"/>
              </w:rPr>
            </w:pPr>
            <w:r w:rsidRPr="00382315">
              <w:t>1.7919</w:t>
            </w:r>
          </w:p>
        </w:tc>
        <w:tc>
          <w:tcPr>
            <w:tcW w:w="1380" w:type="dxa"/>
            <w:tcBorders>
              <w:top w:val="nil"/>
              <w:left w:val="nil"/>
              <w:bottom w:val="single" w:sz="4" w:space="0" w:color="auto"/>
              <w:right w:val="single" w:sz="4" w:space="0" w:color="auto"/>
            </w:tcBorders>
            <w:shd w:val="clear" w:color="auto" w:fill="auto"/>
            <w:noWrap/>
            <w:hideMark/>
          </w:tcPr>
          <w:p w14:paraId="142C0D2B" w14:textId="51B9C530" w:rsidR="00317696" w:rsidRPr="007E1E74" w:rsidRDefault="00317696" w:rsidP="00317696">
            <w:pPr>
              <w:spacing w:after="0" w:line="240" w:lineRule="auto"/>
              <w:jc w:val="right"/>
              <w:rPr>
                <w:rFonts w:ascii="Calibri" w:eastAsia="Times New Roman" w:hAnsi="Calibri" w:cs="Calibri"/>
                <w:color w:val="000000"/>
                <w:lang w:val="es-CL" w:eastAsia="es-CL"/>
              </w:rPr>
            </w:pPr>
            <w:r w:rsidRPr="00382315">
              <w:t>0.408</w:t>
            </w:r>
          </w:p>
        </w:tc>
      </w:tr>
      <w:tr w:rsidR="00317696" w:rsidRPr="007E1E74" w14:paraId="0658E662" w14:textId="77777777" w:rsidTr="00126B08">
        <w:trPr>
          <w:trHeight w:val="19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B1C0F70" w14:textId="2F7D0074" w:rsidR="00317696" w:rsidRPr="005D2EE5" w:rsidRDefault="00317696" w:rsidP="00317696">
            <w:pPr>
              <w:spacing w:after="0" w:line="240" w:lineRule="auto"/>
              <w:rPr>
                <w:rFonts w:ascii="Calibri" w:eastAsia="Times New Roman" w:hAnsi="Calibri" w:cs="Calibri"/>
                <w:color w:val="000000"/>
                <w:lang w:val="es-CL" w:eastAsia="es-CL"/>
              </w:rPr>
            </w:pPr>
            <m:oMathPara>
              <m:oMathParaPr>
                <m:jc m:val="left"/>
              </m:oMathParaPr>
              <m:oMath>
                <m:r>
                  <w:rPr>
                    <w:rFonts w:ascii="Cambria Math" w:eastAsia="Times New Roman" w:hAnsi="Cambria Math" w:cs="Calibri"/>
                    <w:color w:val="000000"/>
                  </w:rPr>
                  <m:t>∆E</m:t>
                </m:r>
              </m:oMath>
            </m:oMathPara>
          </w:p>
        </w:tc>
        <w:tc>
          <w:tcPr>
            <w:tcW w:w="2015" w:type="dxa"/>
            <w:tcBorders>
              <w:top w:val="nil"/>
              <w:left w:val="nil"/>
              <w:bottom w:val="single" w:sz="4" w:space="0" w:color="auto"/>
              <w:right w:val="single" w:sz="4" w:space="0" w:color="auto"/>
            </w:tcBorders>
            <w:shd w:val="clear" w:color="auto" w:fill="auto"/>
            <w:noWrap/>
            <w:vAlign w:val="bottom"/>
            <w:hideMark/>
          </w:tcPr>
          <w:p w14:paraId="5E89226A" w14:textId="5BBA4F58" w:rsidR="00317696" w:rsidRPr="007E1E74" w:rsidRDefault="00317696" w:rsidP="00317696">
            <w:pPr>
              <w:spacing w:after="0" w:line="240" w:lineRule="auto"/>
              <w:rPr>
                <w:rFonts w:ascii="Calibri" w:eastAsia="Times New Roman" w:hAnsi="Calibri" w:cs="Calibri"/>
                <w:color w:val="000000"/>
                <w:lang w:val="es-CL" w:eastAsia="es-CL"/>
              </w:rPr>
            </w:pPr>
            <w:r w:rsidRPr="009F38E9">
              <w:rPr>
                <w:rFonts w:ascii="Calibri" w:eastAsia="Times New Roman" w:hAnsi="Calibri" w:cs="Calibri"/>
                <w:color w:val="000000"/>
                <w:lang w:val="es-CL" w:eastAsia="es-CL"/>
              </w:rPr>
              <w:t>does not cause to</w:t>
            </w:r>
          </w:p>
        </w:tc>
        <w:tc>
          <w:tcPr>
            <w:tcW w:w="1086" w:type="dxa"/>
            <w:tcBorders>
              <w:top w:val="nil"/>
              <w:left w:val="nil"/>
              <w:bottom w:val="single" w:sz="4" w:space="0" w:color="auto"/>
              <w:right w:val="single" w:sz="4" w:space="0" w:color="auto"/>
            </w:tcBorders>
            <w:shd w:val="clear" w:color="auto" w:fill="auto"/>
            <w:noWrap/>
            <w:vAlign w:val="bottom"/>
            <w:hideMark/>
          </w:tcPr>
          <w:p w14:paraId="4DFA1778" w14:textId="39A2F835" w:rsidR="00317696" w:rsidRPr="007E1E74" w:rsidRDefault="00317696" w:rsidP="00317696">
            <w:pPr>
              <w:spacing w:after="0" w:line="240" w:lineRule="auto"/>
              <w:rPr>
                <w:rFonts w:ascii="Calibri" w:eastAsia="Times New Roman" w:hAnsi="Calibri" w:cs="Calibri"/>
                <w:color w:val="000000"/>
                <w:lang w:val="es-CL" w:eastAsia="es-CL"/>
              </w:rPr>
            </w:pPr>
            <w:r w:rsidRPr="007E1E74">
              <w:rPr>
                <w:rFonts w:ascii="Calibri" w:eastAsia="Times New Roman" w:hAnsi="Calibri" w:cs="Calibri"/>
                <w:color w:val="000000"/>
                <w:lang w:val="es-CL" w:eastAsia="es-CL"/>
              </w:rPr>
              <w:t>Infla</w:t>
            </w:r>
            <w:r>
              <w:rPr>
                <w:rFonts w:ascii="Calibri" w:eastAsia="Times New Roman" w:hAnsi="Calibri" w:cs="Calibri"/>
                <w:color w:val="000000"/>
                <w:lang w:val="es-CL" w:eastAsia="es-CL"/>
              </w:rPr>
              <w:t>tion</w:t>
            </w:r>
          </w:p>
        </w:tc>
        <w:tc>
          <w:tcPr>
            <w:tcW w:w="947" w:type="dxa"/>
            <w:tcBorders>
              <w:top w:val="nil"/>
              <w:left w:val="nil"/>
              <w:bottom w:val="single" w:sz="4" w:space="0" w:color="auto"/>
              <w:right w:val="single" w:sz="4" w:space="0" w:color="auto"/>
            </w:tcBorders>
            <w:shd w:val="clear" w:color="auto" w:fill="auto"/>
            <w:noWrap/>
            <w:hideMark/>
          </w:tcPr>
          <w:p w14:paraId="0E634411" w14:textId="35FAF0BA" w:rsidR="00317696" w:rsidRPr="007E1E74" w:rsidRDefault="00317696" w:rsidP="00317696">
            <w:pPr>
              <w:spacing w:after="0" w:line="240" w:lineRule="auto"/>
              <w:jc w:val="right"/>
              <w:rPr>
                <w:rFonts w:ascii="Calibri" w:eastAsia="Times New Roman" w:hAnsi="Calibri" w:cs="Calibri"/>
                <w:color w:val="000000"/>
                <w:lang w:val="es-CL" w:eastAsia="es-CL"/>
              </w:rPr>
            </w:pPr>
            <w:r w:rsidRPr="00382315">
              <w:t>12.533</w:t>
            </w:r>
          </w:p>
        </w:tc>
        <w:tc>
          <w:tcPr>
            <w:tcW w:w="1380" w:type="dxa"/>
            <w:tcBorders>
              <w:top w:val="nil"/>
              <w:left w:val="nil"/>
              <w:bottom w:val="single" w:sz="4" w:space="0" w:color="auto"/>
              <w:right w:val="single" w:sz="4" w:space="0" w:color="auto"/>
            </w:tcBorders>
            <w:shd w:val="clear" w:color="auto" w:fill="auto"/>
            <w:noWrap/>
            <w:hideMark/>
          </w:tcPr>
          <w:p w14:paraId="1137021E" w14:textId="37A5C910" w:rsidR="00317696" w:rsidRPr="007E1E74" w:rsidRDefault="00317696" w:rsidP="00317696">
            <w:pPr>
              <w:spacing w:after="0" w:line="240" w:lineRule="auto"/>
              <w:jc w:val="right"/>
              <w:rPr>
                <w:rFonts w:ascii="Calibri" w:eastAsia="Times New Roman" w:hAnsi="Calibri" w:cs="Calibri"/>
                <w:color w:val="000000"/>
                <w:lang w:val="es-CL" w:eastAsia="es-CL"/>
              </w:rPr>
            </w:pPr>
            <w:r w:rsidRPr="00382315">
              <w:t>0</w:t>
            </w:r>
          </w:p>
        </w:tc>
      </w:tr>
      <w:tr w:rsidR="00317696" w:rsidRPr="007E1E74" w14:paraId="61F41143" w14:textId="77777777" w:rsidTr="00126B08">
        <w:trPr>
          <w:trHeight w:val="19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B8AFAE5" w14:textId="39488E04" w:rsidR="00317696" w:rsidRPr="007E1E74" w:rsidRDefault="00317696" w:rsidP="00317696">
            <w:pPr>
              <w:spacing w:after="0" w:line="240" w:lineRule="auto"/>
              <w:rPr>
                <w:rFonts w:ascii="Calibri" w:eastAsia="Times New Roman" w:hAnsi="Calibri" w:cs="Calibri"/>
                <w:color w:val="000000"/>
                <w:lang w:val="es-CL" w:eastAsia="es-CL"/>
              </w:rPr>
            </w:pPr>
            <m:oMath>
              <m:r>
                <w:rPr>
                  <w:rFonts w:ascii="Cambria Math" w:eastAsia="Times New Roman" w:hAnsi="Cambria Math" w:cs="Calibri"/>
                  <w:color w:val="000000"/>
                </w:rPr>
                <m:t>∆</m:t>
              </m:r>
            </m:oMath>
            <w:r w:rsidRPr="00D466DA">
              <w:rPr>
                <w:rFonts w:ascii="Calibri" w:eastAsia="Times New Roman" w:hAnsi="Calibri" w:cs="Calibri"/>
                <w:bCs/>
                <w:color w:val="000000"/>
                <w:lang w:val="es-CL" w:eastAsia="es-CL"/>
              </w:rPr>
              <w:t>TPM</w:t>
            </w:r>
          </w:p>
        </w:tc>
        <w:tc>
          <w:tcPr>
            <w:tcW w:w="2015" w:type="dxa"/>
            <w:tcBorders>
              <w:top w:val="nil"/>
              <w:left w:val="nil"/>
              <w:bottom w:val="single" w:sz="4" w:space="0" w:color="auto"/>
              <w:right w:val="single" w:sz="4" w:space="0" w:color="auto"/>
            </w:tcBorders>
            <w:shd w:val="clear" w:color="auto" w:fill="auto"/>
            <w:noWrap/>
            <w:vAlign w:val="bottom"/>
            <w:hideMark/>
          </w:tcPr>
          <w:p w14:paraId="3DC7ECFF" w14:textId="1F9A06DA" w:rsidR="00317696" w:rsidRPr="007E1E74" w:rsidRDefault="00317696" w:rsidP="00317696">
            <w:pPr>
              <w:spacing w:after="0" w:line="240" w:lineRule="auto"/>
              <w:rPr>
                <w:rFonts w:ascii="Calibri" w:eastAsia="Times New Roman" w:hAnsi="Calibri" w:cs="Calibri"/>
                <w:color w:val="000000"/>
                <w:lang w:val="es-CL" w:eastAsia="es-CL"/>
              </w:rPr>
            </w:pPr>
            <w:r w:rsidRPr="009F38E9">
              <w:rPr>
                <w:rFonts w:ascii="Calibri" w:eastAsia="Times New Roman" w:hAnsi="Calibri" w:cs="Calibri"/>
                <w:color w:val="000000"/>
                <w:lang w:val="es-CL" w:eastAsia="es-CL"/>
              </w:rPr>
              <w:t>does not cause to</w:t>
            </w:r>
          </w:p>
        </w:tc>
        <w:tc>
          <w:tcPr>
            <w:tcW w:w="1086" w:type="dxa"/>
            <w:tcBorders>
              <w:top w:val="nil"/>
              <w:left w:val="nil"/>
              <w:bottom w:val="single" w:sz="4" w:space="0" w:color="auto"/>
              <w:right w:val="single" w:sz="4" w:space="0" w:color="auto"/>
            </w:tcBorders>
            <w:shd w:val="clear" w:color="auto" w:fill="auto"/>
            <w:noWrap/>
            <w:vAlign w:val="bottom"/>
            <w:hideMark/>
          </w:tcPr>
          <w:p w14:paraId="39DBC941" w14:textId="668F85C7" w:rsidR="00317696" w:rsidRPr="007E1E74" w:rsidRDefault="00317696" w:rsidP="00317696">
            <w:pPr>
              <w:spacing w:after="0" w:line="240" w:lineRule="auto"/>
              <w:rPr>
                <w:rFonts w:ascii="Calibri" w:eastAsia="Times New Roman" w:hAnsi="Calibri" w:cs="Calibri"/>
                <w:color w:val="000000"/>
                <w:lang w:val="es-CL" w:eastAsia="es-CL"/>
              </w:rPr>
            </w:pPr>
            <w:r w:rsidRPr="007E1E74">
              <w:rPr>
                <w:rFonts w:ascii="Calibri" w:eastAsia="Times New Roman" w:hAnsi="Calibri" w:cs="Calibri"/>
                <w:color w:val="000000"/>
                <w:lang w:val="es-CL" w:eastAsia="es-CL"/>
              </w:rPr>
              <w:t>Infla</w:t>
            </w:r>
            <w:r>
              <w:rPr>
                <w:rFonts w:ascii="Calibri" w:eastAsia="Times New Roman" w:hAnsi="Calibri" w:cs="Calibri"/>
                <w:color w:val="000000"/>
                <w:lang w:val="es-CL" w:eastAsia="es-CL"/>
              </w:rPr>
              <w:t>tion</w:t>
            </w:r>
          </w:p>
        </w:tc>
        <w:tc>
          <w:tcPr>
            <w:tcW w:w="947" w:type="dxa"/>
            <w:tcBorders>
              <w:top w:val="nil"/>
              <w:left w:val="nil"/>
              <w:bottom w:val="single" w:sz="4" w:space="0" w:color="auto"/>
              <w:right w:val="single" w:sz="4" w:space="0" w:color="auto"/>
            </w:tcBorders>
            <w:shd w:val="clear" w:color="auto" w:fill="auto"/>
            <w:noWrap/>
            <w:hideMark/>
          </w:tcPr>
          <w:p w14:paraId="3FC49B8E" w14:textId="3D8BAF84" w:rsidR="00317696" w:rsidRPr="007E1E74" w:rsidRDefault="00317696" w:rsidP="00317696">
            <w:pPr>
              <w:spacing w:after="0" w:line="240" w:lineRule="auto"/>
              <w:jc w:val="right"/>
              <w:rPr>
                <w:rFonts w:ascii="Calibri" w:eastAsia="Times New Roman" w:hAnsi="Calibri" w:cs="Calibri"/>
                <w:color w:val="000000"/>
                <w:lang w:val="es-CL" w:eastAsia="es-CL"/>
              </w:rPr>
            </w:pPr>
            <w:r w:rsidRPr="00382315">
              <w:t>2.8435</w:t>
            </w:r>
          </w:p>
        </w:tc>
        <w:tc>
          <w:tcPr>
            <w:tcW w:w="1380" w:type="dxa"/>
            <w:tcBorders>
              <w:top w:val="nil"/>
              <w:left w:val="nil"/>
              <w:bottom w:val="single" w:sz="4" w:space="0" w:color="auto"/>
              <w:right w:val="single" w:sz="4" w:space="0" w:color="auto"/>
            </w:tcBorders>
            <w:shd w:val="clear" w:color="auto" w:fill="auto"/>
            <w:noWrap/>
            <w:hideMark/>
          </w:tcPr>
          <w:p w14:paraId="7490615D" w14:textId="53019373" w:rsidR="00317696" w:rsidRPr="007E1E74" w:rsidRDefault="00317696" w:rsidP="00317696">
            <w:pPr>
              <w:spacing w:after="0" w:line="240" w:lineRule="auto"/>
              <w:jc w:val="right"/>
              <w:rPr>
                <w:rFonts w:ascii="Calibri" w:eastAsia="Times New Roman" w:hAnsi="Calibri" w:cs="Calibri"/>
                <w:color w:val="000000"/>
                <w:lang w:val="es-CL" w:eastAsia="es-CL"/>
              </w:rPr>
            </w:pPr>
            <w:r w:rsidRPr="00382315">
              <w:t>0.092</w:t>
            </w:r>
          </w:p>
        </w:tc>
      </w:tr>
      <w:tr w:rsidR="00317696" w:rsidRPr="007E1E74" w14:paraId="011286B7" w14:textId="77777777" w:rsidTr="00126B08">
        <w:trPr>
          <w:trHeight w:val="19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B472781" w14:textId="4AA105AD" w:rsidR="00317696" w:rsidRPr="007E1E74" w:rsidRDefault="00317696" w:rsidP="00317696">
            <w:pPr>
              <w:spacing w:after="0" w:line="240" w:lineRule="auto"/>
              <w:rPr>
                <w:rFonts w:ascii="Calibri" w:eastAsia="Times New Roman" w:hAnsi="Calibri" w:cs="Calibri"/>
                <w:color w:val="000000"/>
                <w:lang w:val="es-CL" w:eastAsia="es-CL"/>
              </w:rPr>
            </w:pPr>
            <m:oMath>
              <m:r>
                <w:rPr>
                  <w:rFonts w:ascii="Cambria Math" w:eastAsia="Times New Roman" w:hAnsi="Cambria Math" w:cs="Calibri"/>
                  <w:color w:val="000000"/>
                </w:rPr>
                <m:t>∆E</m:t>
              </m:r>
            </m:oMath>
            <w:r w:rsidRPr="007E1E74">
              <w:rPr>
                <w:rFonts w:ascii="Calibri" w:eastAsia="Times New Roman" w:hAnsi="Calibri" w:cs="Calibri"/>
                <w:color w:val="000000"/>
                <w:lang w:val="es-CL" w:eastAsia="es-CL"/>
              </w:rPr>
              <w:t xml:space="preserve"> </w:t>
            </w:r>
            <w:r>
              <w:rPr>
                <w:rFonts w:ascii="Calibri" w:eastAsia="Times New Roman" w:hAnsi="Calibri" w:cs="Calibri"/>
                <w:color w:val="000000"/>
                <w:lang w:val="es-CL" w:eastAsia="es-CL"/>
              </w:rPr>
              <w:t>and</w:t>
            </w:r>
            <w:r w:rsidRPr="007E1E74">
              <w:rPr>
                <w:rFonts w:ascii="Calibri" w:eastAsia="Times New Roman" w:hAnsi="Calibri" w:cs="Calibri"/>
                <w:color w:val="000000"/>
                <w:lang w:val="es-CL" w:eastAsia="es-CL"/>
              </w:rPr>
              <w:t xml:space="preserve"> </w:t>
            </w:r>
            <m:oMath>
              <m:r>
                <w:rPr>
                  <w:rFonts w:ascii="Cambria Math" w:eastAsia="Times New Roman" w:hAnsi="Cambria Math" w:cs="Calibri"/>
                  <w:color w:val="000000"/>
                </w:rPr>
                <m:t>∆</m:t>
              </m:r>
            </m:oMath>
            <w:r w:rsidRPr="00D466DA">
              <w:rPr>
                <w:rFonts w:ascii="Calibri" w:eastAsia="Times New Roman" w:hAnsi="Calibri" w:cs="Calibri"/>
                <w:bCs/>
                <w:color w:val="000000"/>
                <w:lang w:val="es-CL" w:eastAsia="es-CL"/>
              </w:rPr>
              <w:t>TPM</w:t>
            </w:r>
            <w:r w:rsidRPr="007E1E74">
              <w:rPr>
                <w:rFonts w:ascii="Calibri" w:eastAsia="Times New Roman" w:hAnsi="Calibri" w:cs="Calibri"/>
                <w:color w:val="000000"/>
                <w:lang w:val="es-CL" w:eastAsia="es-CL"/>
              </w:rPr>
              <w:t xml:space="preserve"> </w:t>
            </w:r>
            <w:r>
              <w:rPr>
                <w:rFonts w:ascii="Calibri" w:eastAsia="Times New Roman" w:hAnsi="Calibri" w:cs="Calibri"/>
                <w:color w:val="000000"/>
                <w:lang w:val="es-CL" w:eastAsia="es-CL"/>
              </w:rPr>
              <w:t>jointly</w:t>
            </w:r>
          </w:p>
        </w:tc>
        <w:tc>
          <w:tcPr>
            <w:tcW w:w="2015" w:type="dxa"/>
            <w:tcBorders>
              <w:top w:val="nil"/>
              <w:left w:val="nil"/>
              <w:bottom w:val="single" w:sz="4" w:space="0" w:color="auto"/>
              <w:right w:val="single" w:sz="4" w:space="0" w:color="auto"/>
            </w:tcBorders>
            <w:shd w:val="clear" w:color="auto" w:fill="auto"/>
            <w:noWrap/>
            <w:vAlign w:val="bottom"/>
            <w:hideMark/>
          </w:tcPr>
          <w:p w14:paraId="23C37CD9" w14:textId="0A2C478D" w:rsidR="00317696" w:rsidRPr="007E1E74" w:rsidRDefault="00317696" w:rsidP="00317696">
            <w:pPr>
              <w:spacing w:after="0" w:line="240" w:lineRule="auto"/>
              <w:rPr>
                <w:rFonts w:ascii="Calibri" w:eastAsia="Times New Roman" w:hAnsi="Calibri" w:cs="Calibri"/>
                <w:color w:val="000000"/>
                <w:lang w:val="es-CL" w:eastAsia="es-CL"/>
              </w:rPr>
            </w:pPr>
            <w:r w:rsidRPr="009F38E9">
              <w:rPr>
                <w:rFonts w:ascii="Calibri" w:eastAsia="Times New Roman" w:hAnsi="Calibri" w:cs="Calibri"/>
                <w:color w:val="000000"/>
                <w:lang w:val="es-CL" w:eastAsia="es-CL"/>
              </w:rPr>
              <w:t>does not cause to</w:t>
            </w:r>
          </w:p>
        </w:tc>
        <w:tc>
          <w:tcPr>
            <w:tcW w:w="1086" w:type="dxa"/>
            <w:tcBorders>
              <w:top w:val="nil"/>
              <w:left w:val="nil"/>
              <w:bottom w:val="single" w:sz="4" w:space="0" w:color="auto"/>
              <w:right w:val="single" w:sz="4" w:space="0" w:color="auto"/>
            </w:tcBorders>
            <w:shd w:val="clear" w:color="auto" w:fill="auto"/>
            <w:noWrap/>
            <w:vAlign w:val="bottom"/>
            <w:hideMark/>
          </w:tcPr>
          <w:p w14:paraId="1D994369" w14:textId="078A610D" w:rsidR="00317696" w:rsidRPr="007E1E74" w:rsidRDefault="00317696" w:rsidP="00317696">
            <w:pPr>
              <w:spacing w:after="0" w:line="240" w:lineRule="auto"/>
              <w:rPr>
                <w:rFonts w:ascii="Calibri" w:eastAsia="Times New Roman" w:hAnsi="Calibri" w:cs="Calibri"/>
                <w:color w:val="000000"/>
                <w:lang w:val="es-CL" w:eastAsia="es-CL"/>
              </w:rPr>
            </w:pPr>
            <w:r w:rsidRPr="007E1E74">
              <w:rPr>
                <w:rFonts w:ascii="Calibri" w:eastAsia="Times New Roman" w:hAnsi="Calibri" w:cs="Calibri"/>
                <w:color w:val="000000"/>
                <w:lang w:val="es-CL" w:eastAsia="es-CL"/>
              </w:rPr>
              <w:t>Infla</w:t>
            </w:r>
            <w:r>
              <w:rPr>
                <w:rFonts w:ascii="Calibri" w:eastAsia="Times New Roman" w:hAnsi="Calibri" w:cs="Calibri"/>
                <w:color w:val="000000"/>
                <w:lang w:val="es-CL" w:eastAsia="es-CL"/>
              </w:rPr>
              <w:t>tion</w:t>
            </w:r>
          </w:p>
        </w:tc>
        <w:tc>
          <w:tcPr>
            <w:tcW w:w="947" w:type="dxa"/>
            <w:tcBorders>
              <w:top w:val="nil"/>
              <w:left w:val="nil"/>
              <w:bottom w:val="single" w:sz="4" w:space="0" w:color="auto"/>
              <w:right w:val="single" w:sz="4" w:space="0" w:color="auto"/>
            </w:tcBorders>
            <w:shd w:val="clear" w:color="auto" w:fill="auto"/>
            <w:noWrap/>
            <w:hideMark/>
          </w:tcPr>
          <w:p w14:paraId="1BBBDDED" w14:textId="712CB176" w:rsidR="00317696" w:rsidRPr="007E1E74" w:rsidRDefault="00317696" w:rsidP="00317696">
            <w:pPr>
              <w:spacing w:after="0" w:line="240" w:lineRule="auto"/>
              <w:jc w:val="right"/>
              <w:rPr>
                <w:rFonts w:ascii="Calibri" w:eastAsia="Times New Roman" w:hAnsi="Calibri" w:cs="Calibri"/>
                <w:color w:val="000000"/>
                <w:lang w:val="es-CL" w:eastAsia="es-CL"/>
              </w:rPr>
            </w:pPr>
            <w:r w:rsidRPr="00382315">
              <w:t>15.082</w:t>
            </w:r>
          </w:p>
        </w:tc>
        <w:tc>
          <w:tcPr>
            <w:tcW w:w="1380" w:type="dxa"/>
            <w:tcBorders>
              <w:top w:val="nil"/>
              <w:left w:val="nil"/>
              <w:bottom w:val="single" w:sz="4" w:space="0" w:color="auto"/>
              <w:right w:val="single" w:sz="4" w:space="0" w:color="auto"/>
            </w:tcBorders>
            <w:shd w:val="clear" w:color="auto" w:fill="auto"/>
            <w:noWrap/>
            <w:hideMark/>
          </w:tcPr>
          <w:p w14:paraId="113D8B37" w14:textId="6B5522E8" w:rsidR="00317696" w:rsidRPr="007E1E74" w:rsidRDefault="00317696" w:rsidP="00317696">
            <w:pPr>
              <w:spacing w:after="0" w:line="240" w:lineRule="auto"/>
              <w:jc w:val="right"/>
              <w:rPr>
                <w:rFonts w:ascii="Calibri" w:eastAsia="Times New Roman" w:hAnsi="Calibri" w:cs="Calibri"/>
                <w:color w:val="000000"/>
                <w:lang w:val="es-CL" w:eastAsia="es-CL"/>
              </w:rPr>
            </w:pPr>
            <w:r w:rsidRPr="00382315">
              <w:t>0.001</w:t>
            </w:r>
          </w:p>
        </w:tc>
      </w:tr>
      <w:tr w:rsidR="00317696" w:rsidRPr="007E1E74" w14:paraId="2E76F092" w14:textId="77777777" w:rsidTr="00126B08">
        <w:trPr>
          <w:trHeight w:val="19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EC6C3C4" w14:textId="7CE2CC63" w:rsidR="00317696" w:rsidRPr="005D2EE5" w:rsidRDefault="00317696" w:rsidP="00317696">
            <w:pPr>
              <w:spacing w:after="0" w:line="240" w:lineRule="auto"/>
              <w:rPr>
                <w:rFonts w:ascii="Calibri" w:eastAsia="Times New Roman" w:hAnsi="Calibri" w:cs="Calibri"/>
                <w:color w:val="000000"/>
                <w:lang w:val="es-CL" w:eastAsia="es-CL"/>
              </w:rPr>
            </w:pPr>
            <m:oMathPara>
              <m:oMathParaPr>
                <m:jc m:val="left"/>
              </m:oMathParaPr>
              <m:oMath>
                <m:r>
                  <w:rPr>
                    <w:rFonts w:ascii="Cambria Math" w:eastAsia="Times New Roman" w:hAnsi="Cambria Math" w:cs="Calibri"/>
                    <w:color w:val="000000"/>
                  </w:rPr>
                  <m:t>∆E</m:t>
                </m:r>
              </m:oMath>
            </m:oMathPara>
          </w:p>
        </w:tc>
        <w:tc>
          <w:tcPr>
            <w:tcW w:w="2015" w:type="dxa"/>
            <w:tcBorders>
              <w:top w:val="nil"/>
              <w:left w:val="nil"/>
              <w:bottom w:val="single" w:sz="4" w:space="0" w:color="auto"/>
              <w:right w:val="single" w:sz="4" w:space="0" w:color="auto"/>
            </w:tcBorders>
            <w:shd w:val="clear" w:color="auto" w:fill="auto"/>
            <w:noWrap/>
            <w:vAlign w:val="bottom"/>
            <w:hideMark/>
          </w:tcPr>
          <w:p w14:paraId="6A511343" w14:textId="05E8BBAD" w:rsidR="00317696" w:rsidRPr="007E1E74" w:rsidRDefault="00317696" w:rsidP="00317696">
            <w:pPr>
              <w:spacing w:after="0" w:line="240" w:lineRule="auto"/>
              <w:rPr>
                <w:rFonts w:ascii="Calibri" w:eastAsia="Times New Roman" w:hAnsi="Calibri" w:cs="Calibri"/>
                <w:color w:val="000000"/>
                <w:lang w:val="es-CL" w:eastAsia="es-CL"/>
              </w:rPr>
            </w:pPr>
            <w:r w:rsidRPr="009F38E9">
              <w:rPr>
                <w:rFonts w:ascii="Calibri" w:eastAsia="Times New Roman" w:hAnsi="Calibri" w:cs="Calibri"/>
                <w:color w:val="000000"/>
                <w:lang w:val="es-CL" w:eastAsia="es-CL"/>
              </w:rPr>
              <w:t>does not cause to</w:t>
            </w:r>
          </w:p>
        </w:tc>
        <w:tc>
          <w:tcPr>
            <w:tcW w:w="1086" w:type="dxa"/>
            <w:tcBorders>
              <w:top w:val="nil"/>
              <w:left w:val="nil"/>
              <w:bottom w:val="single" w:sz="4" w:space="0" w:color="auto"/>
              <w:right w:val="single" w:sz="4" w:space="0" w:color="auto"/>
            </w:tcBorders>
            <w:shd w:val="clear" w:color="auto" w:fill="auto"/>
            <w:noWrap/>
            <w:vAlign w:val="bottom"/>
            <w:hideMark/>
          </w:tcPr>
          <w:p w14:paraId="435CED92" w14:textId="03FC997B" w:rsidR="00317696" w:rsidRPr="007E1E74" w:rsidRDefault="00317696" w:rsidP="00317696">
            <w:pPr>
              <w:spacing w:after="0" w:line="240" w:lineRule="auto"/>
              <w:rPr>
                <w:rFonts w:ascii="Calibri" w:eastAsia="Times New Roman" w:hAnsi="Calibri" w:cs="Calibri"/>
                <w:color w:val="000000"/>
                <w:lang w:val="es-CL" w:eastAsia="es-CL"/>
              </w:rPr>
            </w:pPr>
            <m:oMath>
              <m:r>
                <w:rPr>
                  <w:rFonts w:ascii="Cambria Math" w:eastAsia="Times New Roman" w:hAnsi="Cambria Math" w:cs="Calibri"/>
                  <w:color w:val="000000"/>
                </w:rPr>
                <m:t>∆</m:t>
              </m:r>
            </m:oMath>
            <w:r w:rsidRPr="00D466DA">
              <w:rPr>
                <w:rFonts w:ascii="Calibri" w:eastAsia="Times New Roman" w:hAnsi="Calibri" w:cs="Calibri"/>
                <w:bCs/>
                <w:color w:val="000000"/>
                <w:lang w:val="es-CL" w:eastAsia="es-CL"/>
              </w:rPr>
              <w:t>TPM</w:t>
            </w:r>
          </w:p>
        </w:tc>
        <w:tc>
          <w:tcPr>
            <w:tcW w:w="947" w:type="dxa"/>
            <w:tcBorders>
              <w:top w:val="nil"/>
              <w:left w:val="nil"/>
              <w:bottom w:val="single" w:sz="4" w:space="0" w:color="auto"/>
              <w:right w:val="single" w:sz="4" w:space="0" w:color="auto"/>
            </w:tcBorders>
            <w:shd w:val="clear" w:color="auto" w:fill="auto"/>
            <w:noWrap/>
            <w:hideMark/>
          </w:tcPr>
          <w:p w14:paraId="5F12DA05" w14:textId="0E6F84CC" w:rsidR="00317696" w:rsidRPr="007E1E74" w:rsidRDefault="00317696" w:rsidP="00317696">
            <w:pPr>
              <w:spacing w:after="0" w:line="240" w:lineRule="auto"/>
              <w:jc w:val="right"/>
              <w:rPr>
                <w:rFonts w:ascii="Calibri" w:eastAsia="Times New Roman" w:hAnsi="Calibri" w:cs="Calibri"/>
                <w:color w:val="000000"/>
                <w:lang w:val="es-CL" w:eastAsia="es-CL"/>
              </w:rPr>
            </w:pPr>
            <w:r w:rsidRPr="00382315">
              <w:t>4.6762</w:t>
            </w:r>
          </w:p>
        </w:tc>
        <w:tc>
          <w:tcPr>
            <w:tcW w:w="1380" w:type="dxa"/>
            <w:tcBorders>
              <w:top w:val="nil"/>
              <w:left w:val="nil"/>
              <w:bottom w:val="single" w:sz="4" w:space="0" w:color="auto"/>
              <w:right w:val="single" w:sz="4" w:space="0" w:color="auto"/>
            </w:tcBorders>
            <w:shd w:val="clear" w:color="auto" w:fill="auto"/>
            <w:noWrap/>
            <w:hideMark/>
          </w:tcPr>
          <w:p w14:paraId="7142E5CD" w14:textId="0D66924C" w:rsidR="00317696" w:rsidRPr="007E1E74" w:rsidRDefault="00317696" w:rsidP="00317696">
            <w:pPr>
              <w:spacing w:after="0" w:line="240" w:lineRule="auto"/>
              <w:jc w:val="right"/>
              <w:rPr>
                <w:rFonts w:ascii="Calibri" w:eastAsia="Times New Roman" w:hAnsi="Calibri" w:cs="Calibri"/>
                <w:color w:val="000000"/>
                <w:lang w:val="es-CL" w:eastAsia="es-CL"/>
              </w:rPr>
            </w:pPr>
            <w:r w:rsidRPr="00382315">
              <w:t>0.031</w:t>
            </w:r>
          </w:p>
        </w:tc>
      </w:tr>
      <w:tr w:rsidR="00317696" w:rsidRPr="007E1E74" w14:paraId="08520506" w14:textId="77777777" w:rsidTr="00126B08">
        <w:trPr>
          <w:trHeight w:val="19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3F7D7B3" w14:textId="443DC8D8" w:rsidR="00317696" w:rsidRPr="007E1E74" w:rsidRDefault="00317696" w:rsidP="00317696">
            <w:pPr>
              <w:spacing w:after="0" w:line="240" w:lineRule="auto"/>
              <w:rPr>
                <w:rFonts w:ascii="Calibri" w:eastAsia="Times New Roman" w:hAnsi="Calibri" w:cs="Calibri"/>
                <w:color w:val="000000"/>
                <w:lang w:val="es-CL" w:eastAsia="es-CL"/>
              </w:rPr>
            </w:pPr>
            <w:r w:rsidRPr="007E1E74">
              <w:rPr>
                <w:rFonts w:ascii="Calibri" w:eastAsia="Times New Roman" w:hAnsi="Calibri" w:cs="Calibri"/>
                <w:color w:val="000000"/>
                <w:lang w:val="es-CL" w:eastAsia="es-CL"/>
              </w:rPr>
              <w:t>Infla</w:t>
            </w:r>
            <w:r>
              <w:rPr>
                <w:rFonts w:ascii="Calibri" w:eastAsia="Times New Roman" w:hAnsi="Calibri" w:cs="Calibri"/>
                <w:color w:val="000000"/>
                <w:lang w:val="es-CL" w:eastAsia="es-CL"/>
              </w:rPr>
              <w:t>tion</w:t>
            </w:r>
          </w:p>
        </w:tc>
        <w:tc>
          <w:tcPr>
            <w:tcW w:w="2015" w:type="dxa"/>
            <w:tcBorders>
              <w:top w:val="nil"/>
              <w:left w:val="nil"/>
              <w:bottom w:val="single" w:sz="4" w:space="0" w:color="auto"/>
              <w:right w:val="single" w:sz="4" w:space="0" w:color="auto"/>
            </w:tcBorders>
            <w:shd w:val="clear" w:color="auto" w:fill="auto"/>
            <w:noWrap/>
            <w:vAlign w:val="bottom"/>
            <w:hideMark/>
          </w:tcPr>
          <w:p w14:paraId="761AAC84" w14:textId="2A3AD295" w:rsidR="00317696" w:rsidRPr="007E1E74" w:rsidRDefault="00317696" w:rsidP="00317696">
            <w:pPr>
              <w:spacing w:after="0" w:line="240" w:lineRule="auto"/>
              <w:rPr>
                <w:rFonts w:ascii="Calibri" w:eastAsia="Times New Roman" w:hAnsi="Calibri" w:cs="Calibri"/>
                <w:color w:val="000000"/>
                <w:lang w:val="es-CL" w:eastAsia="es-CL"/>
              </w:rPr>
            </w:pPr>
            <w:r w:rsidRPr="009F38E9">
              <w:rPr>
                <w:rFonts w:ascii="Calibri" w:eastAsia="Times New Roman" w:hAnsi="Calibri" w:cs="Calibri"/>
                <w:color w:val="000000"/>
                <w:lang w:val="es-CL" w:eastAsia="es-CL"/>
              </w:rPr>
              <w:t>does not cause to</w:t>
            </w:r>
          </w:p>
        </w:tc>
        <w:tc>
          <w:tcPr>
            <w:tcW w:w="1086" w:type="dxa"/>
            <w:tcBorders>
              <w:top w:val="nil"/>
              <w:left w:val="nil"/>
              <w:bottom w:val="single" w:sz="4" w:space="0" w:color="auto"/>
              <w:right w:val="single" w:sz="4" w:space="0" w:color="auto"/>
            </w:tcBorders>
            <w:shd w:val="clear" w:color="auto" w:fill="auto"/>
            <w:noWrap/>
            <w:vAlign w:val="bottom"/>
            <w:hideMark/>
          </w:tcPr>
          <w:p w14:paraId="78593085" w14:textId="598C5381" w:rsidR="00317696" w:rsidRPr="007E1E74" w:rsidRDefault="00317696" w:rsidP="00317696">
            <w:pPr>
              <w:spacing w:after="0" w:line="240" w:lineRule="auto"/>
              <w:rPr>
                <w:rFonts w:ascii="Calibri" w:eastAsia="Times New Roman" w:hAnsi="Calibri" w:cs="Calibri"/>
                <w:color w:val="000000"/>
                <w:lang w:val="es-CL" w:eastAsia="es-CL"/>
              </w:rPr>
            </w:pPr>
            <m:oMath>
              <m:r>
                <w:rPr>
                  <w:rFonts w:ascii="Cambria Math" w:eastAsia="Times New Roman" w:hAnsi="Cambria Math" w:cs="Calibri"/>
                  <w:color w:val="000000"/>
                </w:rPr>
                <m:t>∆</m:t>
              </m:r>
            </m:oMath>
            <w:r w:rsidRPr="00D466DA">
              <w:rPr>
                <w:rFonts w:ascii="Calibri" w:eastAsia="Times New Roman" w:hAnsi="Calibri" w:cs="Calibri"/>
                <w:bCs/>
                <w:color w:val="000000"/>
                <w:lang w:val="es-CL" w:eastAsia="es-CL"/>
              </w:rPr>
              <w:t>TPM</w:t>
            </w:r>
          </w:p>
        </w:tc>
        <w:tc>
          <w:tcPr>
            <w:tcW w:w="947" w:type="dxa"/>
            <w:tcBorders>
              <w:top w:val="nil"/>
              <w:left w:val="nil"/>
              <w:bottom w:val="single" w:sz="4" w:space="0" w:color="auto"/>
              <w:right w:val="single" w:sz="4" w:space="0" w:color="auto"/>
            </w:tcBorders>
            <w:shd w:val="clear" w:color="auto" w:fill="auto"/>
            <w:noWrap/>
            <w:hideMark/>
          </w:tcPr>
          <w:p w14:paraId="10A7662A" w14:textId="317392D9" w:rsidR="00317696" w:rsidRPr="007E1E74" w:rsidRDefault="00317696" w:rsidP="00317696">
            <w:pPr>
              <w:spacing w:after="0" w:line="240" w:lineRule="auto"/>
              <w:jc w:val="right"/>
              <w:rPr>
                <w:rFonts w:ascii="Calibri" w:eastAsia="Times New Roman" w:hAnsi="Calibri" w:cs="Calibri"/>
                <w:color w:val="000000"/>
                <w:lang w:val="es-CL" w:eastAsia="es-CL"/>
              </w:rPr>
            </w:pPr>
            <w:r w:rsidRPr="00382315">
              <w:t>0.1271</w:t>
            </w:r>
          </w:p>
        </w:tc>
        <w:tc>
          <w:tcPr>
            <w:tcW w:w="1380" w:type="dxa"/>
            <w:tcBorders>
              <w:top w:val="nil"/>
              <w:left w:val="nil"/>
              <w:bottom w:val="single" w:sz="4" w:space="0" w:color="auto"/>
              <w:right w:val="single" w:sz="4" w:space="0" w:color="auto"/>
            </w:tcBorders>
            <w:shd w:val="clear" w:color="auto" w:fill="auto"/>
            <w:noWrap/>
            <w:hideMark/>
          </w:tcPr>
          <w:p w14:paraId="010718E0" w14:textId="4B8D7B1D" w:rsidR="00317696" w:rsidRPr="007E1E74" w:rsidRDefault="00317696" w:rsidP="00317696">
            <w:pPr>
              <w:spacing w:after="0" w:line="240" w:lineRule="auto"/>
              <w:jc w:val="right"/>
              <w:rPr>
                <w:rFonts w:ascii="Calibri" w:eastAsia="Times New Roman" w:hAnsi="Calibri" w:cs="Calibri"/>
                <w:color w:val="000000"/>
                <w:lang w:val="es-CL" w:eastAsia="es-CL"/>
              </w:rPr>
            </w:pPr>
            <w:r w:rsidRPr="00382315">
              <w:t>0.721</w:t>
            </w:r>
          </w:p>
        </w:tc>
      </w:tr>
      <w:tr w:rsidR="00317696" w:rsidRPr="007E1E74" w14:paraId="4E28A569" w14:textId="77777777" w:rsidTr="00126B08">
        <w:trPr>
          <w:trHeight w:val="19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D975AC5" w14:textId="01A085D8" w:rsidR="00317696" w:rsidRPr="007E1E74" w:rsidRDefault="00317696" w:rsidP="00317696">
            <w:pPr>
              <w:spacing w:after="0" w:line="240" w:lineRule="auto"/>
              <w:rPr>
                <w:rFonts w:ascii="Calibri" w:eastAsia="Times New Roman" w:hAnsi="Calibri" w:cs="Calibri"/>
                <w:color w:val="000000"/>
                <w:lang w:val="es-CL" w:eastAsia="es-CL"/>
              </w:rPr>
            </w:pPr>
            <m:oMath>
              <m:r>
                <w:rPr>
                  <w:rFonts w:ascii="Cambria Math" w:eastAsia="Times New Roman" w:hAnsi="Cambria Math" w:cs="Calibri"/>
                  <w:color w:val="000000"/>
                </w:rPr>
                <m:t>∆E</m:t>
              </m:r>
            </m:oMath>
            <w:r w:rsidRPr="007E1E74">
              <w:rPr>
                <w:rFonts w:ascii="Calibri" w:eastAsia="Times New Roman" w:hAnsi="Calibri" w:cs="Calibri"/>
                <w:color w:val="000000"/>
                <w:lang w:val="es-CL" w:eastAsia="es-CL"/>
              </w:rPr>
              <w:t xml:space="preserve"> </w:t>
            </w:r>
            <w:r>
              <w:rPr>
                <w:rFonts w:ascii="Calibri" w:eastAsia="Times New Roman" w:hAnsi="Calibri" w:cs="Calibri"/>
                <w:color w:val="000000"/>
                <w:lang w:val="es-CL" w:eastAsia="es-CL"/>
              </w:rPr>
              <w:t>and</w:t>
            </w:r>
            <w:r w:rsidRPr="007E1E74">
              <w:rPr>
                <w:rFonts w:ascii="Calibri" w:eastAsia="Times New Roman" w:hAnsi="Calibri" w:cs="Calibri"/>
                <w:color w:val="000000"/>
                <w:lang w:val="es-CL" w:eastAsia="es-CL"/>
              </w:rPr>
              <w:t xml:space="preserve"> infla</w:t>
            </w:r>
            <w:r>
              <w:rPr>
                <w:rFonts w:ascii="Calibri" w:eastAsia="Times New Roman" w:hAnsi="Calibri" w:cs="Calibri"/>
                <w:color w:val="000000"/>
                <w:lang w:val="es-CL" w:eastAsia="es-CL"/>
              </w:rPr>
              <w:t>tion jointly</w:t>
            </w:r>
          </w:p>
        </w:tc>
        <w:tc>
          <w:tcPr>
            <w:tcW w:w="2015" w:type="dxa"/>
            <w:tcBorders>
              <w:top w:val="nil"/>
              <w:left w:val="nil"/>
              <w:bottom w:val="single" w:sz="4" w:space="0" w:color="auto"/>
              <w:right w:val="single" w:sz="4" w:space="0" w:color="auto"/>
            </w:tcBorders>
            <w:shd w:val="clear" w:color="auto" w:fill="auto"/>
            <w:noWrap/>
            <w:vAlign w:val="bottom"/>
            <w:hideMark/>
          </w:tcPr>
          <w:p w14:paraId="4282279F" w14:textId="386F85B0" w:rsidR="00317696" w:rsidRPr="007E1E74" w:rsidRDefault="00317696" w:rsidP="00317696">
            <w:pPr>
              <w:spacing w:after="0" w:line="240" w:lineRule="auto"/>
              <w:rPr>
                <w:rFonts w:ascii="Calibri" w:eastAsia="Times New Roman" w:hAnsi="Calibri" w:cs="Calibri"/>
                <w:color w:val="000000"/>
                <w:lang w:val="es-CL" w:eastAsia="es-CL"/>
              </w:rPr>
            </w:pPr>
            <w:r w:rsidRPr="009F38E9">
              <w:rPr>
                <w:rFonts w:ascii="Calibri" w:eastAsia="Times New Roman" w:hAnsi="Calibri" w:cs="Calibri"/>
                <w:color w:val="000000"/>
                <w:lang w:val="es-CL" w:eastAsia="es-CL"/>
              </w:rPr>
              <w:t>does not cause to</w:t>
            </w:r>
          </w:p>
        </w:tc>
        <w:tc>
          <w:tcPr>
            <w:tcW w:w="1086" w:type="dxa"/>
            <w:tcBorders>
              <w:top w:val="nil"/>
              <w:left w:val="nil"/>
              <w:bottom w:val="single" w:sz="4" w:space="0" w:color="auto"/>
              <w:right w:val="single" w:sz="4" w:space="0" w:color="auto"/>
            </w:tcBorders>
            <w:shd w:val="clear" w:color="auto" w:fill="auto"/>
            <w:noWrap/>
            <w:vAlign w:val="bottom"/>
            <w:hideMark/>
          </w:tcPr>
          <w:p w14:paraId="1636DE13" w14:textId="1593245D" w:rsidR="00317696" w:rsidRPr="007E1E74" w:rsidRDefault="00317696" w:rsidP="00317696">
            <w:pPr>
              <w:spacing w:after="0" w:line="240" w:lineRule="auto"/>
              <w:rPr>
                <w:rFonts w:ascii="Calibri" w:eastAsia="Times New Roman" w:hAnsi="Calibri" w:cs="Calibri"/>
                <w:color w:val="000000"/>
                <w:lang w:val="es-CL" w:eastAsia="es-CL"/>
              </w:rPr>
            </w:pPr>
            <m:oMath>
              <m:r>
                <w:rPr>
                  <w:rFonts w:ascii="Cambria Math" w:eastAsia="Times New Roman" w:hAnsi="Cambria Math" w:cs="Calibri"/>
                  <w:color w:val="000000"/>
                </w:rPr>
                <m:t>∆</m:t>
              </m:r>
            </m:oMath>
            <w:r w:rsidRPr="00D466DA">
              <w:rPr>
                <w:rFonts w:ascii="Calibri" w:eastAsia="Times New Roman" w:hAnsi="Calibri" w:cs="Calibri"/>
                <w:bCs/>
                <w:color w:val="000000"/>
                <w:lang w:val="es-CL" w:eastAsia="es-CL"/>
              </w:rPr>
              <w:t>TPM</w:t>
            </w:r>
          </w:p>
        </w:tc>
        <w:tc>
          <w:tcPr>
            <w:tcW w:w="947" w:type="dxa"/>
            <w:tcBorders>
              <w:top w:val="nil"/>
              <w:left w:val="nil"/>
              <w:bottom w:val="single" w:sz="4" w:space="0" w:color="auto"/>
              <w:right w:val="single" w:sz="4" w:space="0" w:color="auto"/>
            </w:tcBorders>
            <w:shd w:val="clear" w:color="auto" w:fill="auto"/>
            <w:noWrap/>
            <w:hideMark/>
          </w:tcPr>
          <w:p w14:paraId="51F2342D" w14:textId="0782DEDF" w:rsidR="00317696" w:rsidRPr="007E1E74" w:rsidRDefault="00317696" w:rsidP="00317696">
            <w:pPr>
              <w:spacing w:after="0" w:line="240" w:lineRule="auto"/>
              <w:jc w:val="right"/>
              <w:rPr>
                <w:rFonts w:ascii="Calibri" w:eastAsia="Times New Roman" w:hAnsi="Calibri" w:cs="Calibri"/>
                <w:color w:val="000000"/>
                <w:lang w:val="es-CL" w:eastAsia="es-CL"/>
              </w:rPr>
            </w:pPr>
            <w:r w:rsidRPr="00382315">
              <w:t>4.7643</w:t>
            </w:r>
          </w:p>
        </w:tc>
        <w:tc>
          <w:tcPr>
            <w:tcW w:w="1380" w:type="dxa"/>
            <w:tcBorders>
              <w:top w:val="nil"/>
              <w:left w:val="nil"/>
              <w:bottom w:val="single" w:sz="4" w:space="0" w:color="auto"/>
              <w:right w:val="single" w:sz="4" w:space="0" w:color="auto"/>
            </w:tcBorders>
            <w:shd w:val="clear" w:color="auto" w:fill="auto"/>
            <w:noWrap/>
            <w:hideMark/>
          </w:tcPr>
          <w:p w14:paraId="53C881CE" w14:textId="79485D96" w:rsidR="00317696" w:rsidRPr="007E1E74" w:rsidRDefault="00317696" w:rsidP="00317696">
            <w:pPr>
              <w:spacing w:after="0" w:line="240" w:lineRule="auto"/>
              <w:jc w:val="right"/>
              <w:rPr>
                <w:rFonts w:ascii="Calibri" w:eastAsia="Times New Roman" w:hAnsi="Calibri" w:cs="Calibri"/>
                <w:color w:val="000000"/>
                <w:lang w:val="es-CL" w:eastAsia="es-CL"/>
              </w:rPr>
            </w:pPr>
            <w:r w:rsidRPr="00382315">
              <w:t>0.092</w:t>
            </w:r>
          </w:p>
        </w:tc>
      </w:tr>
    </w:tbl>
    <w:p w14:paraId="5BCA6AD0" w14:textId="77777777" w:rsidR="00A814B4" w:rsidRDefault="00A814B4" w:rsidP="00FF01AC">
      <w:pPr>
        <w:jc w:val="both"/>
        <w:rPr>
          <w:rFonts w:eastAsiaTheme="minorEastAsia"/>
          <w:sz w:val="24"/>
          <w:szCs w:val="24"/>
          <w:lang w:val="es-CL"/>
        </w:rPr>
      </w:pPr>
    </w:p>
    <w:p w14:paraId="11FFFCDE" w14:textId="2D36FEFD" w:rsidR="00675E12" w:rsidRPr="003B6C66" w:rsidRDefault="00675E12" w:rsidP="00FF01AC">
      <w:pPr>
        <w:jc w:val="both"/>
        <w:rPr>
          <w:rFonts w:eastAsiaTheme="minorEastAsia"/>
          <w:sz w:val="24"/>
          <w:szCs w:val="24"/>
        </w:rPr>
      </w:pPr>
      <w:r w:rsidRPr="003B6C66">
        <w:rPr>
          <w:rFonts w:eastAsiaTheme="minorEastAsia"/>
          <w:sz w:val="24"/>
          <w:szCs w:val="24"/>
        </w:rPr>
        <w:t xml:space="preserve">The decomposition of the forecast error, on the other hand, indicates with 90% confidence that the variance of the error incurred in the forecast of inflation is not affected by a shock in the variation of the TPM but is affected by the variation in the exchange rate, in particular, the fraction of the variance of the error incurred in forecasting inflation due to an exchange rate shock increases in the short run from 0% and reaches approximately </w:t>
      </w:r>
      <w:r w:rsidR="00417A2D">
        <w:rPr>
          <w:rFonts w:eastAsiaTheme="minorEastAsia"/>
          <w:sz w:val="24"/>
          <w:szCs w:val="24"/>
        </w:rPr>
        <w:t>22</w:t>
      </w:r>
      <w:r w:rsidRPr="003B6C66">
        <w:rPr>
          <w:rFonts w:eastAsiaTheme="minorEastAsia"/>
          <w:sz w:val="24"/>
          <w:szCs w:val="24"/>
        </w:rPr>
        <w:t>% after the fourth month.</w:t>
      </w:r>
    </w:p>
    <w:p w14:paraId="58A3706D" w14:textId="111CE50F" w:rsidR="00502E52" w:rsidRPr="003B6C66" w:rsidRDefault="00502E52" w:rsidP="00FF01AC">
      <w:pPr>
        <w:jc w:val="both"/>
        <w:rPr>
          <w:rFonts w:eastAsiaTheme="minorEastAsia"/>
          <w:sz w:val="24"/>
          <w:szCs w:val="24"/>
        </w:rPr>
      </w:pPr>
    </w:p>
    <w:p w14:paraId="1C8C33AA" w14:textId="49A6B19C" w:rsidR="00502E52" w:rsidRPr="003B6C66" w:rsidRDefault="00502E52" w:rsidP="00FF01AC">
      <w:pPr>
        <w:jc w:val="both"/>
        <w:rPr>
          <w:rFonts w:eastAsiaTheme="minorEastAsia"/>
          <w:sz w:val="24"/>
          <w:szCs w:val="24"/>
        </w:rPr>
      </w:pPr>
    </w:p>
    <w:p w14:paraId="1AF897FF" w14:textId="4DEBE1CF" w:rsidR="00502E52" w:rsidRPr="003B6C66" w:rsidRDefault="00502E52" w:rsidP="00FF01AC">
      <w:pPr>
        <w:jc w:val="both"/>
        <w:rPr>
          <w:rFonts w:eastAsiaTheme="minorEastAsia"/>
          <w:sz w:val="24"/>
          <w:szCs w:val="24"/>
        </w:rPr>
      </w:pPr>
    </w:p>
    <w:p w14:paraId="6D42A9AC" w14:textId="317425C5" w:rsidR="00502E52" w:rsidRPr="003B6C66" w:rsidRDefault="00502E52" w:rsidP="00FF01AC">
      <w:pPr>
        <w:jc w:val="both"/>
        <w:rPr>
          <w:rFonts w:eastAsiaTheme="minorEastAsia"/>
          <w:sz w:val="24"/>
          <w:szCs w:val="24"/>
        </w:rPr>
      </w:pPr>
    </w:p>
    <w:p w14:paraId="4FD9BAD3" w14:textId="24D0E2E7" w:rsidR="00502E52" w:rsidRDefault="00502E52" w:rsidP="00FF01AC">
      <w:pPr>
        <w:jc w:val="both"/>
        <w:rPr>
          <w:rFonts w:eastAsiaTheme="minorEastAsia"/>
          <w:sz w:val="24"/>
          <w:szCs w:val="24"/>
        </w:rPr>
      </w:pPr>
    </w:p>
    <w:p w14:paraId="7C9D8B3C" w14:textId="42F37C66" w:rsidR="008F4119" w:rsidRDefault="008F4119" w:rsidP="00FF01AC">
      <w:pPr>
        <w:jc w:val="both"/>
        <w:rPr>
          <w:rFonts w:eastAsiaTheme="minorEastAsia"/>
          <w:sz w:val="24"/>
          <w:szCs w:val="24"/>
        </w:rPr>
      </w:pPr>
    </w:p>
    <w:p w14:paraId="11F83BC9" w14:textId="7B1A429E" w:rsidR="008F4119" w:rsidRDefault="008F4119" w:rsidP="00FF01AC">
      <w:pPr>
        <w:jc w:val="both"/>
        <w:rPr>
          <w:rFonts w:eastAsiaTheme="minorEastAsia"/>
          <w:sz w:val="24"/>
          <w:szCs w:val="24"/>
        </w:rPr>
      </w:pPr>
    </w:p>
    <w:p w14:paraId="397A94DF" w14:textId="2EADF106" w:rsidR="008F4119" w:rsidRDefault="008F4119" w:rsidP="00FF01AC">
      <w:pPr>
        <w:jc w:val="both"/>
        <w:rPr>
          <w:rFonts w:eastAsiaTheme="minorEastAsia"/>
          <w:sz w:val="24"/>
          <w:szCs w:val="24"/>
        </w:rPr>
      </w:pPr>
    </w:p>
    <w:p w14:paraId="62044DFE" w14:textId="5A30E8CE" w:rsidR="008F4119" w:rsidRDefault="008F4119" w:rsidP="00FF01AC">
      <w:pPr>
        <w:jc w:val="both"/>
        <w:rPr>
          <w:rFonts w:eastAsiaTheme="minorEastAsia"/>
          <w:sz w:val="24"/>
          <w:szCs w:val="24"/>
        </w:rPr>
      </w:pPr>
    </w:p>
    <w:p w14:paraId="21601761" w14:textId="7E6DB755" w:rsidR="008F4119" w:rsidRDefault="008F4119" w:rsidP="00FF01AC">
      <w:pPr>
        <w:jc w:val="both"/>
        <w:rPr>
          <w:rFonts w:eastAsiaTheme="minorEastAsia"/>
          <w:sz w:val="24"/>
          <w:szCs w:val="24"/>
        </w:rPr>
      </w:pPr>
    </w:p>
    <w:p w14:paraId="521F2293" w14:textId="0F7E546C" w:rsidR="008F4119" w:rsidRDefault="008F4119" w:rsidP="00FF01AC">
      <w:pPr>
        <w:jc w:val="both"/>
        <w:rPr>
          <w:rFonts w:eastAsiaTheme="minorEastAsia"/>
          <w:sz w:val="24"/>
          <w:szCs w:val="24"/>
        </w:rPr>
      </w:pPr>
    </w:p>
    <w:p w14:paraId="7C795FBD" w14:textId="575AD1D1" w:rsidR="008F4119" w:rsidRDefault="008F4119" w:rsidP="00FF01AC">
      <w:pPr>
        <w:jc w:val="both"/>
        <w:rPr>
          <w:rFonts w:eastAsiaTheme="minorEastAsia"/>
          <w:sz w:val="24"/>
          <w:szCs w:val="24"/>
        </w:rPr>
      </w:pPr>
    </w:p>
    <w:p w14:paraId="05AC11B7" w14:textId="42881C51" w:rsidR="008F4119" w:rsidRDefault="008F4119" w:rsidP="00FF01AC">
      <w:pPr>
        <w:jc w:val="both"/>
        <w:rPr>
          <w:rFonts w:eastAsiaTheme="minorEastAsia"/>
          <w:sz w:val="24"/>
          <w:szCs w:val="24"/>
        </w:rPr>
      </w:pPr>
    </w:p>
    <w:p w14:paraId="7AB32D4F" w14:textId="46DE2064" w:rsidR="006752CA" w:rsidRDefault="006752CA" w:rsidP="00FF01AC">
      <w:pPr>
        <w:jc w:val="both"/>
        <w:rPr>
          <w:rFonts w:eastAsiaTheme="minorEastAsia"/>
          <w:sz w:val="24"/>
          <w:szCs w:val="24"/>
        </w:rPr>
      </w:pPr>
    </w:p>
    <w:p w14:paraId="528D7D5C" w14:textId="190F14E1" w:rsidR="006752CA" w:rsidRDefault="006752CA" w:rsidP="00FF01AC">
      <w:pPr>
        <w:jc w:val="both"/>
        <w:rPr>
          <w:rFonts w:eastAsiaTheme="minorEastAsia"/>
          <w:sz w:val="24"/>
          <w:szCs w:val="24"/>
        </w:rPr>
      </w:pPr>
    </w:p>
    <w:p w14:paraId="72A0C923" w14:textId="77777777" w:rsidR="006752CA" w:rsidRPr="003B6C66" w:rsidRDefault="006752CA" w:rsidP="00FF01AC">
      <w:pPr>
        <w:jc w:val="both"/>
        <w:rPr>
          <w:rFonts w:eastAsiaTheme="minorEastAsia"/>
          <w:sz w:val="24"/>
          <w:szCs w:val="24"/>
        </w:rPr>
      </w:pPr>
    </w:p>
    <w:p w14:paraId="2A5DB746" w14:textId="1663F945" w:rsidR="00FE72E6" w:rsidRPr="003B6C66" w:rsidRDefault="00EF4F2D" w:rsidP="00EF4F2D">
      <w:pPr>
        <w:jc w:val="center"/>
        <w:rPr>
          <w:rFonts w:eastAsiaTheme="minorEastAsia"/>
          <w:b/>
          <w:bCs/>
          <w:sz w:val="24"/>
          <w:szCs w:val="24"/>
        </w:rPr>
      </w:pPr>
      <w:r w:rsidRPr="003B6C66">
        <w:rPr>
          <w:rFonts w:eastAsiaTheme="minorEastAsia"/>
          <w:b/>
          <w:bCs/>
          <w:sz w:val="24"/>
          <w:szCs w:val="24"/>
        </w:rPr>
        <w:lastRenderedPageBreak/>
        <w:t>Conclusi</w:t>
      </w:r>
      <w:r w:rsidR="00955A44" w:rsidRPr="003B6C66">
        <w:rPr>
          <w:rFonts w:eastAsiaTheme="minorEastAsia"/>
          <w:b/>
          <w:bCs/>
          <w:sz w:val="24"/>
          <w:szCs w:val="24"/>
        </w:rPr>
        <w:t>o</w:t>
      </w:r>
      <w:r w:rsidRPr="003B6C66">
        <w:rPr>
          <w:rFonts w:eastAsiaTheme="minorEastAsia"/>
          <w:b/>
          <w:bCs/>
          <w:sz w:val="24"/>
          <w:szCs w:val="24"/>
        </w:rPr>
        <w:t>n</w:t>
      </w:r>
    </w:p>
    <w:p w14:paraId="79A6EA1D" w14:textId="77777777" w:rsidR="00055563" w:rsidRDefault="00955A44" w:rsidP="00FF01AC">
      <w:pPr>
        <w:jc w:val="both"/>
        <w:rPr>
          <w:rFonts w:eastAsiaTheme="minorEastAsia"/>
          <w:sz w:val="24"/>
          <w:szCs w:val="24"/>
        </w:rPr>
      </w:pPr>
      <w:bookmarkStart w:id="8" w:name="_Hlk98150921"/>
      <w:r w:rsidRPr="003B6C66">
        <w:rPr>
          <w:rFonts w:eastAsiaTheme="minorEastAsia"/>
          <w:sz w:val="24"/>
          <w:szCs w:val="24"/>
        </w:rPr>
        <w:t>Three important conclusions emerge from this study:</w:t>
      </w:r>
    </w:p>
    <w:p w14:paraId="64E415F8" w14:textId="77777777" w:rsidR="00055563" w:rsidRDefault="00955A44" w:rsidP="00FF01AC">
      <w:pPr>
        <w:jc w:val="both"/>
        <w:rPr>
          <w:rFonts w:eastAsiaTheme="minorEastAsia"/>
          <w:sz w:val="24"/>
          <w:szCs w:val="24"/>
        </w:rPr>
      </w:pPr>
      <w:r w:rsidRPr="003B6C66">
        <w:rPr>
          <w:rFonts w:eastAsiaTheme="minorEastAsia"/>
          <w:sz w:val="24"/>
          <w:szCs w:val="24"/>
        </w:rPr>
        <w:t>1. The main conclusion is the corroboration that domestic demand has played a rather limited role as an inflationary factor in Chile. In general, in normal periods, increases in domestic demand explain no more than 20% of observed inflation. The monthly average inflation observed during the 2000-2021 period reached 0.3%. From this we estimate that the increases in demand in normal periods explain an inflation of 0.06% per month.</w:t>
      </w:r>
    </w:p>
    <w:p w14:paraId="2F99A888" w14:textId="77777777" w:rsidR="00055563" w:rsidRDefault="00955A44" w:rsidP="00FF01AC">
      <w:pPr>
        <w:jc w:val="both"/>
        <w:rPr>
          <w:rFonts w:eastAsiaTheme="minorEastAsia"/>
          <w:sz w:val="24"/>
          <w:szCs w:val="24"/>
        </w:rPr>
      </w:pPr>
      <w:r w:rsidRPr="003B6C66">
        <w:rPr>
          <w:rFonts w:eastAsiaTheme="minorEastAsia"/>
          <w:sz w:val="24"/>
          <w:szCs w:val="24"/>
        </w:rPr>
        <w:t xml:space="preserve"> 2. The second conclusion is that, surprisingly, the extraordinary periods of rapid acceleration in demand as a result of highly expansionary fiscal policies and/or AFP withdrawals had a rather modest effect on the acceleration of inflation. Only in the last 5 months of 2021 we</w:t>
      </w:r>
      <w:r w:rsidR="00F05C94" w:rsidRPr="003B6C66">
        <w:rPr>
          <w:rFonts w:eastAsiaTheme="minorEastAsia"/>
          <w:sz w:val="24"/>
          <w:szCs w:val="24"/>
        </w:rPr>
        <w:t xml:space="preserve"> can</w:t>
      </w:r>
      <w:r w:rsidRPr="003B6C66">
        <w:rPr>
          <w:rFonts w:eastAsiaTheme="minorEastAsia"/>
          <w:sz w:val="24"/>
          <w:szCs w:val="24"/>
        </w:rPr>
        <w:t xml:space="preserve"> detect</w:t>
      </w:r>
      <w:r w:rsidR="00F05C94" w:rsidRPr="003B6C66">
        <w:rPr>
          <w:rFonts w:eastAsiaTheme="minorEastAsia"/>
          <w:sz w:val="24"/>
          <w:szCs w:val="24"/>
        </w:rPr>
        <w:t xml:space="preserve"> some</w:t>
      </w:r>
      <w:r w:rsidRPr="003B6C66">
        <w:rPr>
          <w:rFonts w:eastAsiaTheme="minorEastAsia"/>
          <w:sz w:val="24"/>
          <w:szCs w:val="24"/>
        </w:rPr>
        <w:t xml:space="preserve"> effects of the expansion in demand on inflation, explaining almost 33% of the inflationary acceleration that occurs in those months. </w:t>
      </w:r>
    </w:p>
    <w:p w14:paraId="089A85CF" w14:textId="1D2BAD07" w:rsidR="00955A44" w:rsidRPr="003B6C66" w:rsidRDefault="00955A44" w:rsidP="00FF01AC">
      <w:pPr>
        <w:jc w:val="both"/>
        <w:rPr>
          <w:rFonts w:eastAsiaTheme="minorEastAsia"/>
          <w:sz w:val="24"/>
          <w:szCs w:val="24"/>
        </w:rPr>
      </w:pPr>
      <w:r w:rsidRPr="003B6C66">
        <w:rPr>
          <w:rFonts w:eastAsiaTheme="minorEastAsia"/>
          <w:sz w:val="24"/>
          <w:szCs w:val="24"/>
        </w:rPr>
        <w:t>3. Finally, this study corroborates an expected fact in a small and open economy like Chile's; most domestic inflation is determined by foreign inflation.</w:t>
      </w:r>
    </w:p>
    <w:p w14:paraId="75AF869F" w14:textId="42DB5B6A" w:rsidR="005B6158" w:rsidRPr="003B6C66" w:rsidRDefault="005B6158" w:rsidP="00FF01AC">
      <w:pPr>
        <w:jc w:val="both"/>
        <w:rPr>
          <w:rFonts w:eastAsiaTheme="minorEastAsia"/>
          <w:sz w:val="24"/>
          <w:szCs w:val="24"/>
        </w:rPr>
      </w:pPr>
    </w:p>
    <w:p w14:paraId="744ED6CF" w14:textId="698E8B3B" w:rsidR="005B6158" w:rsidRPr="003B6C66" w:rsidRDefault="005B6158" w:rsidP="00FF01AC">
      <w:pPr>
        <w:jc w:val="both"/>
        <w:rPr>
          <w:rFonts w:eastAsiaTheme="minorEastAsia"/>
          <w:sz w:val="24"/>
          <w:szCs w:val="24"/>
        </w:rPr>
      </w:pPr>
    </w:p>
    <w:p w14:paraId="1C8042B5" w14:textId="476BEEEC" w:rsidR="005B6158" w:rsidRPr="003B6C66" w:rsidRDefault="005B6158" w:rsidP="00FF01AC">
      <w:pPr>
        <w:jc w:val="both"/>
        <w:rPr>
          <w:rFonts w:eastAsiaTheme="minorEastAsia"/>
          <w:sz w:val="24"/>
          <w:szCs w:val="24"/>
        </w:rPr>
      </w:pPr>
    </w:p>
    <w:p w14:paraId="12B9B67E" w14:textId="400ABF9A" w:rsidR="005B6158" w:rsidRPr="003B6C66" w:rsidRDefault="005B6158" w:rsidP="00FF01AC">
      <w:pPr>
        <w:jc w:val="both"/>
        <w:rPr>
          <w:rFonts w:eastAsiaTheme="minorEastAsia"/>
          <w:sz w:val="24"/>
          <w:szCs w:val="24"/>
        </w:rPr>
      </w:pPr>
    </w:p>
    <w:p w14:paraId="7765459E" w14:textId="6888092F" w:rsidR="005B6158" w:rsidRPr="003B6C66" w:rsidRDefault="005B6158" w:rsidP="00FF01AC">
      <w:pPr>
        <w:jc w:val="both"/>
        <w:rPr>
          <w:rFonts w:eastAsiaTheme="minorEastAsia"/>
          <w:sz w:val="24"/>
          <w:szCs w:val="24"/>
        </w:rPr>
      </w:pPr>
    </w:p>
    <w:p w14:paraId="45D548B5" w14:textId="0B78A083" w:rsidR="005B6158" w:rsidRPr="003B6C66" w:rsidRDefault="005B6158" w:rsidP="00FF01AC">
      <w:pPr>
        <w:jc w:val="both"/>
        <w:rPr>
          <w:rFonts w:eastAsiaTheme="minorEastAsia"/>
          <w:sz w:val="24"/>
          <w:szCs w:val="24"/>
        </w:rPr>
      </w:pPr>
    </w:p>
    <w:p w14:paraId="2DB27178" w14:textId="50D2C333" w:rsidR="005B6158" w:rsidRPr="003B6C66" w:rsidRDefault="005B6158" w:rsidP="00FF01AC">
      <w:pPr>
        <w:jc w:val="both"/>
        <w:rPr>
          <w:rFonts w:eastAsiaTheme="minorEastAsia"/>
          <w:sz w:val="24"/>
          <w:szCs w:val="24"/>
        </w:rPr>
      </w:pPr>
    </w:p>
    <w:p w14:paraId="409756DD" w14:textId="5A439A7D" w:rsidR="005B6158" w:rsidRPr="003B6C66" w:rsidRDefault="005B6158" w:rsidP="00FF01AC">
      <w:pPr>
        <w:jc w:val="both"/>
        <w:rPr>
          <w:rFonts w:eastAsiaTheme="minorEastAsia"/>
          <w:sz w:val="24"/>
          <w:szCs w:val="24"/>
        </w:rPr>
      </w:pPr>
    </w:p>
    <w:p w14:paraId="6E8AA5D1" w14:textId="73F17251" w:rsidR="005B6158" w:rsidRPr="003B6C66" w:rsidRDefault="005B6158" w:rsidP="00FF01AC">
      <w:pPr>
        <w:jc w:val="both"/>
        <w:rPr>
          <w:rFonts w:eastAsiaTheme="minorEastAsia"/>
          <w:sz w:val="24"/>
          <w:szCs w:val="24"/>
        </w:rPr>
      </w:pPr>
    </w:p>
    <w:p w14:paraId="10BB8C48" w14:textId="2B188DFD" w:rsidR="005B6158" w:rsidRPr="003B6C66" w:rsidRDefault="005B6158" w:rsidP="00FF01AC">
      <w:pPr>
        <w:jc w:val="both"/>
        <w:rPr>
          <w:rFonts w:eastAsiaTheme="minorEastAsia"/>
          <w:sz w:val="24"/>
          <w:szCs w:val="24"/>
        </w:rPr>
      </w:pPr>
    </w:p>
    <w:p w14:paraId="680BE1C6" w14:textId="6ACE625A" w:rsidR="005B6158" w:rsidRPr="003B6C66" w:rsidRDefault="005B6158" w:rsidP="00FF01AC">
      <w:pPr>
        <w:jc w:val="both"/>
        <w:rPr>
          <w:rFonts w:eastAsiaTheme="minorEastAsia"/>
          <w:sz w:val="24"/>
          <w:szCs w:val="24"/>
        </w:rPr>
      </w:pPr>
    </w:p>
    <w:p w14:paraId="0AA00A9D" w14:textId="162666BB" w:rsidR="005B6158" w:rsidRPr="003B6C66" w:rsidRDefault="005B6158" w:rsidP="00FF01AC">
      <w:pPr>
        <w:jc w:val="both"/>
        <w:rPr>
          <w:rFonts w:eastAsiaTheme="minorEastAsia"/>
          <w:sz w:val="24"/>
          <w:szCs w:val="24"/>
        </w:rPr>
      </w:pPr>
    </w:p>
    <w:p w14:paraId="5A3FE228" w14:textId="4E2D010A" w:rsidR="005B6158" w:rsidRPr="003B6C66" w:rsidRDefault="005B6158" w:rsidP="00FF01AC">
      <w:pPr>
        <w:jc w:val="both"/>
        <w:rPr>
          <w:rFonts w:eastAsiaTheme="minorEastAsia"/>
          <w:sz w:val="24"/>
          <w:szCs w:val="24"/>
        </w:rPr>
      </w:pPr>
    </w:p>
    <w:p w14:paraId="2F8DB127" w14:textId="22111592" w:rsidR="005B6158" w:rsidRPr="003B6C66" w:rsidRDefault="005B6158" w:rsidP="00FF01AC">
      <w:pPr>
        <w:jc w:val="both"/>
        <w:rPr>
          <w:rFonts w:eastAsiaTheme="minorEastAsia"/>
          <w:sz w:val="24"/>
          <w:szCs w:val="24"/>
        </w:rPr>
      </w:pPr>
    </w:p>
    <w:p w14:paraId="04753B4A" w14:textId="480686CB" w:rsidR="005B6158" w:rsidRPr="003B6C66" w:rsidRDefault="005B6158" w:rsidP="00FF01AC">
      <w:pPr>
        <w:jc w:val="both"/>
        <w:rPr>
          <w:rFonts w:eastAsiaTheme="minorEastAsia"/>
          <w:sz w:val="24"/>
          <w:szCs w:val="24"/>
        </w:rPr>
      </w:pPr>
    </w:p>
    <w:p w14:paraId="2FBEA230" w14:textId="77777777" w:rsidR="005B6158" w:rsidRPr="003B6C66" w:rsidRDefault="005B6158" w:rsidP="00FF01AC">
      <w:pPr>
        <w:jc w:val="both"/>
        <w:rPr>
          <w:rFonts w:eastAsiaTheme="minorEastAsia"/>
          <w:sz w:val="24"/>
          <w:szCs w:val="24"/>
        </w:rPr>
      </w:pPr>
    </w:p>
    <w:bookmarkEnd w:id="8"/>
    <w:p w14:paraId="05451457" w14:textId="245D299A" w:rsidR="00F91FB6" w:rsidRPr="003B6C66" w:rsidRDefault="00F91FB6" w:rsidP="005B6158">
      <w:pPr>
        <w:jc w:val="center"/>
        <w:rPr>
          <w:b/>
          <w:bCs/>
          <w:sz w:val="28"/>
          <w:szCs w:val="28"/>
        </w:rPr>
      </w:pPr>
      <w:r w:rsidRPr="003B6C66">
        <w:rPr>
          <w:b/>
          <w:bCs/>
          <w:sz w:val="28"/>
          <w:szCs w:val="28"/>
        </w:rPr>
        <w:lastRenderedPageBreak/>
        <w:t>Ap</w:t>
      </w:r>
      <w:r w:rsidR="00502689" w:rsidRPr="003B6C66">
        <w:rPr>
          <w:b/>
          <w:bCs/>
          <w:sz w:val="28"/>
          <w:szCs w:val="28"/>
        </w:rPr>
        <w:t>pe</w:t>
      </w:r>
      <w:r w:rsidRPr="003B6C66">
        <w:rPr>
          <w:b/>
          <w:bCs/>
          <w:sz w:val="28"/>
          <w:szCs w:val="28"/>
        </w:rPr>
        <w:t>ndi</w:t>
      </w:r>
      <w:r w:rsidR="00502689" w:rsidRPr="003B6C66">
        <w:rPr>
          <w:b/>
          <w:bCs/>
          <w:sz w:val="28"/>
          <w:szCs w:val="28"/>
        </w:rPr>
        <w:t>x</w:t>
      </w:r>
    </w:p>
    <w:p w14:paraId="7E5BE3A4" w14:textId="3950A8DF" w:rsidR="00E92722" w:rsidRPr="003B6C66" w:rsidRDefault="00E92722" w:rsidP="00A53F45">
      <w:pPr>
        <w:jc w:val="both"/>
        <w:rPr>
          <w:rFonts w:eastAsiaTheme="minorEastAsia"/>
          <w:sz w:val="24"/>
          <w:szCs w:val="24"/>
        </w:rPr>
      </w:pPr>
      <w:r w:rsidRPr="003B6C66">
        <w:rPr>
          <w:rFonts w:eastAsiaTheme="minorEastAsia"/>
          <w:i/>
          <w:iCs/>
          <w:sz w:val="24"/>
          <w:szCs w:val="24"/>
        </w:rPr>
        <w:t xml:space="preserve">Descriptive statistics. </w:t>
      </w:r>
      <w:r w:rsidRPr="003B6C66">
        <w:rPr>
          <w:rFonts w:eastAsiaTheme="minorEastAsia"/>
          <w:sz w:val="24"/>
          <w:szCs w:val="24"/>
        </w:rPr>
        <w:t>The following table presents a summary of the data used in the estimat</w:t>
      </w:r>
      <w:r w:rsidR="001D08E7" w:rsidRPr="003B6C66">
        <w:rPr>
          <w:rFonts w:eastAsiaTheme="minorEastAsia"/>
          <w:sz w:val="24"/>
          <w:szCs w:val="24"/>
        </w:rPr>
        <w:t>es</w:t>
      </w:r>
      <w:r w:rsidRPr="003B6C66">
        <w:rPr>
          <w:rFonts w:eastAsiaTheme="minorEastAsia"/>
          <w:sz w:val="24"/>
          <w:szCs w:val="24"/>
        </w:rPr>
        <w:t>.</w:t>
      </w:r>
    </w:p>
    <w:p w14:paraId="07C3B7A8" w14:textId="0FCF944B" w:rsidR="003C2F35" w:rsidRPr="003B6C66" w:rsidRDefault="003C2F35" w:rsidP="003C2F35">
      <w:pPr>
        <w:rPr>
          <w:rFonts w:eastAsiaTheme="minorEastAsia"/>
          <w:b/>
          <w:bCs/>
          <w:sz w:val="24"/>
          <w:szCs w:val="24"/>
          <w:u w:val="single"/>
        </w:rPr>
      </w:pPr>
      <w:r w:rsidRPr="003B6C66">
        <w:rPr>
          <w:rFonts w:eastAsiaTheme="minorEastAsia"/>
          <w:b/>
          <w:bCs/>
          <w:sz w:val="24"/>
          <w:szCs w:val="24"/>
        </w:rPr>
        <w:t>Tabl</w:t>
      </w:r>
      <w:r w:rsidR="00D62F73" w:rsidRPr="003B6C66">
        <w:rPr>
          <w:rFonts w:eastAsiaTheme="minorEastAsia"/>
          <w:b/>
          <w:bCs/>
          <w:sz w:val="24"/>
          <w:szCs w:val="24"/>
        </w:rPr>
        <w:t>e</w:t>
      </w:r>
      <w:r w:rsidRPr="003B6C66">
        <w:rPr>
          <w:rFonts w:eastAsiaTheme="minorEastAsia"/>
          <w:b/>
          <w:bCs/>
          <w:sz w:val="24"/>
          <w:szCs w:val="24"/>
        </w:rPr>
        <w:t xml:space="preserve"> </w:t>
      </w:r>
      <w:r w:rsidR="00EF7083" w:rsidRPr="003B6C66">
        <w:rPr>
          <w:rFonts w:eastAsiaTheme="minorEastAsia"/>
          <w:b/>
          <w:bCs/>
          <w:sz w:val="24"/>
          <w:szCs w:val="24"/>
        </w:rPr>
        <w:t>A1</w:t>
      </w:r>
      <w:r w:rsidRPr="003B6C66">
        <w:rPr>
          <w:rFonts w:eastAsiaTheme="minorEastAsia"/>
          <w:b/>
          <w:bCs/>
          <w:sz w:val="24"/>
          <w:szCs w:val="24"/>
        </w:rPr>
        <w:t xml:space="preserve">. </w:t>
      </w:r>
      <w:r w:rsidR="00212DCE" w:rsidRPr="003B6C66">
        <w:rPr>
          <w:rFonts w:eastAsiaTheme="minorEastAsia"/>
          <w:b/>
          <w:bCs/>
          <w:sz w:val="24"/>
          <w:szCs w:val="24"/>
        </w:rPr>
        <w:t>Summary of the data</w:t>
      </w:r>
    </w:p>
    <w:tbl>
      <w:tblPr>
        <w:tblStyle w:val="Tablaconcuadrculaclara"/>
        <w:tblW w:w="7792" w:type="dxa"/>
        <w:tblLook w:val="04A0" w:firstRow="1" w:lastRow="0" w:firstColumn="1" w:lastColumn="0" w:noHBand="0" w:noVBand="1"/>
      </w:tblPr>
      <w:tblGrid>
        <w:gridCol w:w="1555"/>
        <w:gridCol w:w="1554"/>
        <w:gridCol w:w="997"/>
        <w:gridCol w:w="1276"/>
        <w:gridCol w:w="1134"/>
        <w:gridCol w:w="1276"/>
      </w:tblGrid>
      <w:tr w:rsidR="00F91FB6" w:rsidRPr="001D1E4A" w14:paraId="61766AF7" w14:textId="77777777" w:rsidTr="00E64E4D">
        <w:trPr>
          <w:trHeight w:val="283"/>
        </w:trPr>
        <w:tc>
          <w:tcPr>
            <w:tcW w:w="1555" w:type="dxa"/>
            <w:shd w:val="clear" w:color="auto" w:fill="D9E2F3" w:themeFill="accent1" w:themeFillTint="33"/>
            <w:noWrap/>
            <w:hideMark/>
          </w:tcPr>
          <w:p w14:paraId="68D3BA83" w14:textId="77777777" w:rsidR="00F91FB6" w:rsidRPr="001D1E4A" w:rsidRDefault="00F91FB6" w:rsidP="00E64E4D">
            <w:pPr>
              <w:jc w:val="center"/>
              <w:rPr>
                <w:rFonts w:ascii="Calibri" w:eastAsia="Times New Roman" w:hAnsi="Calibri" w:cs="Calibri"/>
                <w:b/>
                <w:bCs/>
                <w:color w:val="000000"/>
                <w:lang w:val="es-CL" w:eastAsia="es-CL"/>
              </w:rPr>
            </w:pPr>
            <w:r w:rsidRPr="001D1E4A">
              <w:rPr>
                <w:rFonts w:ascii="Calibri" w:eastAsia="Times New Roman" w:hAnsi="Calibri" w:cs="Calibri"/>
                <w:b/>
                <w:bCs/>
                <w:color w:val="000000"/>
                <w:lang w:val="es-CL" w:eastAsia="es-CL"/>
              </w:rPr>
              <w:t>Variable</w:t>
            </w:r>
          </w:p>
        </w:tc>
        <w:tc>
          <w:tcPr>
            <w:tcW w:w="1554" w:type="dxa"/>
            <w:shd w:val="clear" w:color="auto" w:fill="D9E2F3" w:themeFill="accent1" w:themeFillTint="33"/>
            <w:noWrap/>
            <w:hideMark/>
          </w:tcPr>
          <w:p w14:paraId="1DA72628" w14:textId="5045F0D1" w:rsidR="00F91FB6" w:rsidRPr="001D1E4A" w:rsidRDefault="00F91FB6" w:rsidP="00E64E4D">
            <w:pPr>
              <w:jc w:val="center"/>
              <w:rPr>
                <w:rFonts w:ascii="Calibri" w:eastAsia="Times New Roman" w:hAnsi="Calibri" w:cs="Calibri"/>
                <w:b/>
                <w:bCs/>
                <w:color w:val="000000"/>
                <w:lang w:val="es-CL" w:eastAsia="es-CL"/>
              </w:rPr>
            </w:pPr>
            <w:r w:rsidRPr="001D1E4A">
              <w:rPr>
                <w:rFonts w:ascii="Calibri" w:eastAsia="Times New Roman" w:hAnsi="Calibri" w:cs="Calibri"/>
                <w:b/>
                <w:bCs/>
                <w:color w:val="000000"/>
                <w:lang w:val="es-CL" w:eastAsia="es-CL"/>
              </w:rPr>
              <w:t>N</w:t>
            </w:r>
            <w:r w:rsidR="008701CD">
              <w:rPr>
                <w:rFonts w:ascii="Calibri" w:eastAsia="Times New Roman" w:hAnsi="Calibri" w:cs="Calibri"/>
                <w:b/>
                <w:bCs/>
                <w:color w:val="000000"/>
                <w:lang w:val="es-CL" w:eastAsia="es-CL"/>
              </w:rPr>
              <w:t>umber of observations</w:t>
            </w:r>
          </w:p>
        </w:tc>
        <w:tc>
          <w:tcPr>
            <w:tcW w:w="997" w:type="dxa"/>
            <w:shd w:val="clear" w:color="auto" w:fill="D9E2F3" w:themeFill="accent1" w:themeFillTint="33"/>
            <w:noWrap/>
            <w:hideMark/>
          </w:tcPr>
          <w:p w14:paraId="306F9BF5" w14:textId="34A598D2" w:rsidR="00F91FB6" w:rsidRPr="001D1E4A" w:rsidRDefault="00F91FB6" w:rsidP="00E64E4D">
            <w:pPr>
              <w:jc w:val="center"/>
              <w:rPr>
                <w:rFonts w:ascii="Calibri" w:eastAsia="Times New Roman" w:hAnsi="Calibri" w:cs="Calibri"/>
                <w:b/>
                <w:bCs/>
                <w:color w:val="000000"/>
                <w:lang w:val="es-CL" w:eastAsia="es-CL"/>
              </w:rPr>
            </w:pPr>
            <w:r w:rsidRPr="001D1E4A">
              <w:rPr>
                <w:rFonts w:ascii="Calibri" w:eastAsia="Times New Roman" w:hAnsi="Calibri" w:cs="Calibri"/>
                <w:b/>
                <w:bCs/>
                <w:color w:val="000000"/>
                <w:lang w:val="es-CL" w:eastAsia="es-CL"/>
              </w:rPr>
              <w:t>Me</w:t>
            </w:r>
            <w:r w:rsidR="008701CD">
              <w:rPr>
                <w:rFonts w:ascii="Calibri" w:eastAsia="Times New Roman" w:hAnsi="Calibri" w:cs="Calibri"/>
                <w:b/>
                <w:bCs/>
                <w:color w:val="000000"/>
                <w:lang w:val="es-CL" w:eastAsia="es-CL"/>
              </w:rPr>
              <w:t>an</w:t>
            </w:r>
          </w:p>
        </w:tc>
        <w:tc>
          <w:tcPr>
            <w:tcW w:w="1276" w:type="dxa"/>
            <w:shd w:val="clear" w:color="auto" w:fill="D9E2F3" w:themeFill="accent1" w:themeFillTint="33"/>
            <w:noWrap/>
            <w:hideMark/>
          </w:tcPr>
          <w:p w14:paraId="44BECE29" w14:textId="58CAEF76" w:rsidR="00F91FB6" w:rsidRPr="001D1E4A" w:rsidRDefault="00F91FB6" w:rsidP="00E64E4D">
            <w:pPr>
              <w:jc w:val="center"/>
              <w:rPr>
                <w:rFonts w:ascii="Calibri" w:eastAsia="Times New Roman" w:hAnsi="Calibri" w:cs="Calibri"/>
                <w:b/>
                <w:bCs/>
                <w:color w:val="000000"/>
                <w:lang w:val="es-CL" w:eastAsia="es-CL"/>
              </w:rPr>
            </w:pPr>
            <w:r w:rsidRPr="001D1E4A">
              <w:rPr>
                <w:rFonts w:ascii="Calibri" w:eastAsia="Times New Roman" w:hAnsi="Calibri" w:cs="Calibri"/>
                <w:b/>
                <w:bCs/>
                <w:color w:val="000000"/>
                <w:lang w:val="es-CL" w:eastAsia="es-CL"/>
              </w:rPr>
              <w:t xml:space="preserve"> </w:t>
            </w:r>
            <w:r w:rsidR="008701CD">
              <w:rPr>
                <w:rFonts w:ascii="Calibri" w:eastAsia="Times New Roman" w:hAnsi="Calibri" w:cs="Calibri"/>
                <w:b/>
                <w:bCs/>
                <w:color w:val="000000"/>
                <w:lang w:val="es-CL" w:eastAsia="es-CL"/>
              </w:rPr>
              <w:t>Std</w:t>
            </w:r>
            <w:r w:rsidRPr="001D1E4A">
              <w:rPr>
                <w:rFonts w:ascii="Calibri" w:eastAsia="Times New Roman" w:hAnsi="Calibri" w:cs="Calibri"/>
                <w:b/>
                <w:bCs/>
                <w:color w:val="000000"/>
                <w:lang w:val="es-CL" w:eastAsia="es-CL"/>
              </w:rPr>
              <w:t>.</w:t>
            </w:r>
            <w:r w:rsidR="008701CD">
              <w:rPr>
                <w:rFonts w:ascii="Calibri" w:eastAsia="Times New Roman" w:hAnsi="Calibri" w:cs="Calibri"/>
                <w:b/>
                <w:bCs/>
                <w:color w:val="000000"/>
                <w:lang w:val="es-CL" w:eastAsia="es-CL"/>
              </w:rPr>
              <w:t xml:space="preserve"> Err.</w:t>
            </w:r>
          </w:p>
        </w:tc>
        <w:tc>
          <w:tcPr>
            <w:tcW w:w="1134" w:type="dxa"/>
            <w:shd w:val="clear" w:color="auto" w:fill="D9E2F3" w:themeFill="accent1" w:themeFillTint="33"/>
            <w:noWrap/>
            <w:hideMark/>
          </w:tcPr>
          <w:p w14:paraId="66F7D1A9" w14:textId="77777777" w:rsidR="00F91FB6" w:rsidRPr="001D1E4A" w:rsidRDefault="00F91FB6" w:rsidP="00E64E4D">
            <w:pPr>
              <w:jc w:val="center"/>
              <w:rPr>
                <w:rFonts w:ascii="Calibri" w:eastAsia="Times New Roman" w:hAnsi="Calibri" w:cs="Calibri"/>
                <w:b/>
                <w:bCs/>
                <w:color w:val="000000"/>
                <w:lang w:val="es-CL" w:eastAsia="es-CL"/>
              </w:rPr>
            </w:pPr>
            <w:r w:rsidRPr="001D1E4A">
              <w:rPr>
                <w:rFonts w:ascii="Calibri" w:eastAsia="Times New Roman" w:hAnsi="Calibri" w:cs="Calibri"/>
                <w:b/>
                <w:bCs/>
                <w:color w:val="000000"/>
                <w:lang w:val="es-CL" w:eastAsia="es-CL"/>
              </w:rPr>
              <w:t>Min</w:t>
            </w:r>
          </w:p>
        </w:tc>
        <w:tc>
          <w:tcPr>
            <w:tcW w:w="1276" w:type="dxa"/>
            <w:shd w:val="clear" w:color="auto" w:fill="D9E2F3" w:themeFill="accent1" w:themeFillTint="33"/>
            <w:noWrap/>
            <w:hideMark/>
          </w:tcPr>
          <w:p w14:paraId="4C332745" w14:textId="77777777" w:rsidR="00F91FB6" w:rsidRPr="001D1E4A" w:rsidRDefault="00F91FB6" w:rsidP="00E64E4D">
            <w:pPr>
              <w:jc w:val="center"/>
              <w:rPr>
                <w:rFonts w:ascii="Calibri" w:eastAsia="Times New Roman" w:hAnsi="Calibri" w:cs="Calibri"/>
                <w:b/>
                <w:bCs/>
                <w:color w:val="000000"/>
                <w:lang w:val="es-CL" w:eastAsia="es-CL"/>
              </w:rPr>
            </w:pPr>
            <w:r w:rsidRPr="001D1E4A">
              <w:rPr>
                <w:rFonts w:ascii="Calibri" w:eastAsia="Times New Roman" w:hAnsi="Calibri" w:cs="Calibri"/>
                <w:b/>
                <w:bCs/>
                <w:color w:val="000000"/>
                <w:lang w:val="es-CL" w:eastAsia="es-CL"/>
              </w:rPr>
              <w:t>Max</w:t>
            </w:r>
          </w:p>
        </w:tc>
      </w:tr>
      <w:tr w:rsidR="00F91FB6" w:rsidRPr="001D1E4A" w14:paraId="5BE3CF13" w14:textId="77777777" w:rsidTr="00E64E4D">
        <w:trPr>
          <w:trHeight w:val="283"/>
        </w:trPr>
        <w:tc>
          <w:tcPr>
            <w:tcW w:w="1555" w:type="dxa"/>
            <w:noWrap/>
            <w:hideMark/>
          </w:tcPr>
          <w:p w14:paraId="16F26AF6" w14:textId="39BE7BFA" w:rsidR="00F91FB6" w:rsidRPr="001D1E4A" w:rsidRDefault="00F91FB6" w:rsidP="00E64E4D">
            <w:pP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Chile</w:t>
            </w:r>
            <w:r w:rsidR="005B0013">
              <w:rPr>
                <w:rFonts w:ascii="Calibri" w:eastAsia="Times New Roman" w:hAnsi="Calibri" w:cs="Calibri"/>
                <w:color w:val="000000"/>
                <w:lang w:val="es-CL" w:eastAsia="es-CL"/>
              </w:rPr>
              <w:t xml:space="preserve"> I</w:t>
            </w:r>
            <w:r w:rsidR="005B0013" w:rsidRPr="001D1E4A">
              <w:rPr>
                <w:rFonts w:ascii="Calibri" w:eastAsia="Times New Roman" w:hAnsi="Calibri" w:cs="Calibri"/>
                <w:color w:val="000000"/>
                <w:lang w:val="es-CL" w:eastAsia="es-CL"/>
              </w:rPr>
              <w:t>nf</w:t>
            </w:r>
            <w:r w:rsidR="005B0013">
              <w:rPr>
                <w:rFonts w:ascii="Calibri" w:eastAsia="Times New Roman" w:hAnsi="Calibri" w:cs="Calibri"/>
                <w:color w:val="000000"/>
                <w:lang w:val="es-CL" w:eastAsia="es-CL"/>
              </w:rPr>
              <w:t>.</w:t>
            </w:r>
          </w:p>
        </w:tc>
        <w:tc>
          <w:tcPr>
            <w:tcW w:w="1554" w:type="dxa"/>
            <w:noWrap/>
            <w:hideMark/>
          </w:tcPr>
          <w:p w14:paraId="6CFE220D" w14:textId="77777777" w:rsidR="00F91FB6" w:rsidRPr="001D1E4A" w:rsidRDefault="00F91FB6" w:rsidP="00E64E4D">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264</w:t>
            </w:r>
          </w:p>
        </w:tc>
        <w:tc>
          <w:tcPr>
            <w:tcW w:w="997" w:type="dxa"/>
            <w:noWrap/>
            <w:hideMark/>
          </w:tcPr>
          <w:p w14:paraId="6C6D3FE3" w14:textId="77777777" w:rsidR="00F91FB6" w:rsidRPr="001D1E4A" w:rsidRDefault="00F91FB6" w:rsidP="00E64E4D">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0.003</w:t>
            </w:r>
          </w:p>
        </w:tc>
        <w:tc>
          <w:tcPr>
            <w:tcW w:w="1276" w:type="dxa"/>
            <w:noWrap/>
            <w:hideMark/>
          </w:tcPr>
          <w:p w14:paraId="3638C859" w14:textId="77777777" w:rsidR="00F91FB6" w:rsidRPr="001D1E4A" w:rsidRDefault="00F91FB6" w:rsidP="00E64E4D">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0.004</w:t>
            </w:r>
          </w:p>
        </w:tc>
        <w:tc>
          <w:tcPr>
            <w:tcW w:w="1134" w:type="dxa"/>
            <w:noWrap/>
            <w:hideMark/>
          </w:tcPr>
          <w:p w14:paraId="3B6AD2ED" w14:textId="77777777" w:rsidR="00F91FB6" w:rsidRPr="001D1E4A" w:rsidRDefault="00F91FB6" w:rsidP="00E64E4D">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-0.012</w:t>
            </w:r>
          </w:p>
        </w:tc>
        <w:tc>
          <w:tcPr>
            <w:tcW w:w="1276" w:type="dxa"/>
            <w:noWrap/>
            <w:hideMark/>
          </w:tcPr>
          <w:p w14:paraId="0C2AAAB6" w14:textId="77777777" w:rsidR="00F91FB6" w:rsidRPr="001D1E4A" w:rsidRDefault="00F91FB6" w:rsidP="00E64E4D">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0.015</w:t>
            </w:r>
          </w:p>
        </w:tc>
      </w:tr>
      <w:tr w:rsidR="00F91FB6" w:rsidRPr="001D1E4A" w14:paraId="0A6E2686" w14:textId="77777777" w:rsidTr="00E64E4D">
        <w:trPr>
          <w:trHeight w:val="283"/>
        </w:trPr>
        <w:tc>
          <w:tcPr>
            <w:tcW w:w="1555" w:type="dxa"/>
            <w:noWrap/>
            <w:hideMark/>
          </w:tcPr>
          <w:p w14:paraId="4D8BE644" w14:textId="54F91BCC" w:rsidR="00F91FB6" w:rsidRPr="001D1E4A" w:rsidRDefault="00F91FB6" w:rsidP="00E64E4D">
            <w:pP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US</w:t>
            </w:r>
            <w:r w:rsidR="005B0013">
              <w:rPr>
                <w:rFonts w:ascii="Calibri" w:eastAsia="Times New Roman" w:hAnsi="Calibri" w:cs="Calibri"/>
                <w:color w:val="000000"/>
                <w:lang w:val="es-CL" w:eastAsia="es-CL"/>
              </w:rPr>
              <w:t xml:space="preserve"> I</w:t>
            </w:r>
            <w:r w:rsidR="005B0013" w:rsidRPr="001D1E4A">
              <w:rPr>
                <w:rFonts w:ascii="Calibri" w:eastAsia="Times New Roman" w:hAnsi="Calibri" w:cs="Calibri"/>
                <w:color w:val="000000"/>
                <w:lang w:val="es-CL" w:eastAsia="es-CL"/>
              </w:rPr>
              <w:t>nf</w:t>
            </w:r>
            <w:r w:rsidR="005B0013">
              <w:rPr>
                <w:rFonts w:ascii="Calibri" w:eastAsia="Times New Roman" w:hAnsi="Calibri" w:cs="Calibri"/>
                <w:color w:val="000000"/>
                <w:lang w:val="es-CL" w:eastAsia="es-CL"/>
              </w:rPr>
              <w:t>.</w:t>
            </w:r>
          </w:p>
        </w:tc>
        <w:tc>
          <w:tcPr>
            <w:tcW w:w="1554" w:type="dxa"/>
            <w:noWrap/>
            <w:hideMark/>
          </w:tcPr>
          <w:p w14:paraId="0B0D9ACB" w14:textId="77777777" w:rsidR="00F91FB6" w:rsidRPr="001D1E4A" w:rsidRDefault="00F91FB6" w:rsidP="00E64E4D">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264</w:t>
            </w:r>
          </w:p>
        </w:tc>
        <w:tc>
          <w:tcPr>
            <w:tcW w:w="997" w:type="dxa"/>
            <w:noWrap/>
            <w:hideMark/>
          </w:tcPr>
          <w:p w14:paraId="23F81A4A" w14:textId="77777777" w:rsidR="00F91FB6" w:rsidRPr="001D1E4A" w:rsidRDefault="00F91FB6" w:rsidP="00E64E4D">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0.002</w:t>
            </w:r>
          </w:p>
        </w:tc>
        <w:tc>
          <w:tcPr>
            <w:tcW w:w="1276" w:type="dxa"/>
            <w:noWrap/>
            <w:hideMark/>
          </w:tcPr>
          <w:p w14:paraId="001559BC" w14:textId="77777777" w:rsidR="00F91FB6" w:rsidRPr="001D1E4A" w:rsidRDefault="00F91FB6" w:rsidP="00E64E4D">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0.004</w:t>
            </w:r>
          </w:p>
        </w:tc>
        <w:tc>
          <w:tcPr>
            <w:tcW w:w="1134" w:type="dxa"/>
            <w:noWrap/>
            <w:hideMark/>
          </w:tcPr>
          <w:p w14:paraId="4E203466" w14:textId="77777777" w:rsidR="00F91FB6" w:rsidRPr="001D1E4A" w:rsidRDefault="00F91FB6" w:rsidP="00E64E4D">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-0.019</w:t>
            </w:r>
          </w:p>
        </w:tc>
        <w:tc>
          <w:tcPr>
            <w:tcW w:w="1276" w:type="dxa"/>
            <w:noWrap/>
            <w:hideMark/>
          </w:tcPr>
          <w:p w14:paraId="44870240" w14:textId="77777777" w:rsidR="00F91FB6" w:rsidRPr="001D1E4A" w:rsidRDefault="00F91FB6" w:rsidP="00E64E4D">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0.012</w:t>
            </w:r>
          </w:p>
        </w:tc>
      </w:tr>
      <w:tr w:rsidR="00F91FB6" w:rsidRPr="001D1E4A" w14:paraId="0C0C7ADB" w14:textId="77777777" w:rsidTr="00E64E4D">
        <w:trPr>
          <w:trHeight w:val="283"/>
        </w:trPr>
        <w:tc>
          <w:tcPr>
            <w:tcW w:w="1555" w:type="dxa"/>
            <w:noWrap/>
            <w:hideMark/>
          </w:tcPr>
          <w:p w14:paraId="3EC88AEB" w14:textId="65D27EFD" w:rsidR="00F91FB6" w:rsidRPr="001D1E4A" w:rsidRDefault="00F91FB6" w:rsidP="00E64E4D">
            <w:pP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China</w:t>
            </w:r>
            <w:r w:rsidR="005B0013">
              <w:rPr>
                <w:rFonts w:ascii="Calibri" w:eastAsia="Times New Roman" w:hAnsi="Calibri" w:cs="Calibri"/>
                <w:color w:val="000000"/>
                <w:lang w:val="es-CL" w:eastAsia="es-CL"/>
              </w:rPr>
              <w:t xml:space="preserve"> I</w:t>
            </w:r>
            <w:r w:rsidR="005B0013" w:rsidRPr="001D1E4A">
              <w:rPr>
                <w:rFonts w:ascii="Calibri" w:eastAsia="Times New Roman" w:hAnsi="Calibri" w:cs="Calibri"/>
                <w:color w:val="000000"/>
                <w:lang w:val="es-CL" w:eastAsia="es-CL"/>
              </w:rPr>
              <w:t>nf</w:t>
            </w:r>
            <w:r w:rsidR="005B0013">
              <w:rPr>
                <w:rFonts w:ascii="Calibri" w:eastAsia="Times New Roman" w:hAnsi="Calibri" w:cs="Calibri"/>
                <w:color w:val="000000"/>
                <w:lang w:val="es-CL" w:eastAsia="es-CL"/>
              </w:rPr>
              <w:t>.</w:t>
            </w:r>
          </w:p>
        </w:tc>
        <w:tc>
          <w:tcPr>
            <w:tcW w:w="1554" w:type="dxa"/>
            <w:noWrap/>
            <w:hideMark/>
          </w:tcPr>
          <w:p w14:paraId="2E86219A" w14:textId="77777777" w:rsidR="00F91FB6" w:rsidRPr="001D1E4A" w:rsidRDefault="00F91FB6" w:rsidP="00E64E4D">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264</w:t>
            </w:r>
          </w:p>
        </w:tc>
        <w:tc>
          <w:tcPr>
            <w:tcW w:w="997" w:type="dxa"/>
            <w:noWrap/>
            <w:hideMark/>
          </w:tcPr>
          <w:p w14:paraId="6AC3EEAE" w14:textId="77777777" w:rsidR="00F91FB6" w:rsidRPr="001D1E4A" w:rsidRDefault="00F91FB6" w:rsidP="00E64E4D">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0.002</w:t>
            </w:r>
          </w:p>
        </w:tc>
        <w:tc>
          <w:tcPr>
            <w:tcW w:w="1276" w:type="dxa"/>
            <w:noWrap/>
            <w:hideMark/>
          </w:tcPr>
          <w:p w14:paraId="79A86BF7" w14:textId="77777777" w:rsidR="00F91FB6" w:rsidRPr="001D1E4A" w:rsidRDefault="00F91FB6" w:rsidP="00E64E4D">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0.006</w:t>
            </w:r>
          </w:p>
        </w:tc>
        <w:tc>
          <w:tcPr>
            <w:tcW w:w="1134" w:type="dxa"/>
            <w:noWrap/>
            <w:hideMark/>
          </w:tcPr>
          <w:p w14:paraId="4D42CC01" w14:textId="77777777" w:rsidR="00F91FB6" w:rsidRPr="001D1E4A" w:rsidRDefault="00F91FB6" w:rsidP="00E64E4D">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-0.014</w:t>
            </w:r>
          </w:p>
        </w:tc>
        <w:tc>
          <w:tcPr>
            <w:tcW w:w="1276" w:type="dxa"/>
            <w:noWrap/>
            <w:hideMark/>
          </w:tcPr>
          <w:p w14:paraId="16992426" w14:textId="77777777" w:rsidR="00F91FB6" w:rsidRPr="001D1E4A" w:rsidRDefault="00F91FB6" w:rsidP="00E64E4D">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0.026</w:t>
            </w:r>
          </w:p>
        </w:tc>
      </w:tr>
      <w:tr w:rsidR="00F91FB6" w:rsidRPr="001D1E4A" w14:paraId="763F41CA" w14:textId="77777777" w:rsidTr="00E64E4D">
        <w:trPr>
          <w:trHeight w:val="283"/>
        </w:trPr>
        <w:tc>
          <w:tcPr>
            <w:tcW w:w="1555" w:type="dxa"/>
            <w:noWrap/>
            <w:hideMark/>
          </w:tcPr>
          <w:p w14:paraId="55D1EE1C" w14:textId="37BB9B9F" w:rsidR="00F91FB6" w:rsidRPr="001D1E4A" w:rsidRDefault="005B0013" w:rsidP="00E64E4D">
            <w:pPr>
              <w:rPr>
                <w:rFonts w:ascii="Calibri" w:eastAsia="Times New Roman" w:hAnsi="Calibri" w:cs="Calibri"/>
                <w:color w:val="000000"/>
                <w:lang w:val="es-CL" w:eastAsia="es-CL"/>
              </w:rPr>
            </w:pPr>
            <w:r>
              <w:rPr>
                <w:rFonts w:ascii="Calibri" w:eastAsia="Times New Roman" w:hAnsi="Calibri" w:cs="Calibri"/>
                <w:color w:val="000000"/>
                <w:lang w:val="es-CL" w:eastAsia="es-CL"/>
              </w:rPr>
              <w:t>E</w:t>
            </w:r>
            <w:r w:rsidR="00F91FB6" w:rsidRPr="001D1E4A">
              <w:rPr>
                <w:rFonts w:ascii="Calibri" w:eastAsia="Times New Roman" w:hAnsi="Calibri" w:cs="Calibri"/>
                <w:color w:val="000000"/>
                <w:lang w:val="es-CL" w:eastAsia="es-CL"/>
              </w:rPr>
              <w:t>urozon</w:t>
            </w:r>
            <w:r>
              <w:rPr>
                <w:rFonts w:ascii="Calibri" w:eastAsia="Times New Roman" w:hAnsi="Calibri" w:cs="Calibri"/>
                <w:color w:val="000000"/>
                <w:lang w:val="es-CL" w:eastAsia="es-CL"/>
              </w:rPr>
              <w:t>e I</w:t>
            </w:r>
            <w:r w:rsidRPr="001D1E4A">
              <w:rPr>
                <w:rFonts w:ascii="Calibri" w:eastAsia="Times New Roman" w:hAnsi="Calibri" w:cs="Calibri"/>
                <w:color w:val="000000"/>
                <w:lang w:val="es-CL" w:eastAsia="es-CL"/>
              </w:rPr>
              <w:t>nf</w:t>
            </w:r>
            <w:r>
              <w:rPr>
                <w:rFonts w:ascii="Calibri" w:eastAsia="Times New Roman" w:hAnsi="Calibri" w:cs="Calibri"/>
                <w:color w:val="000000"/>
                <w:lang w:val="es-CL" w:eastAsia="es-CL"/>
              </w:rPr>
              <w:t>.</w:t>
            </w:r>
          </w:p>
        </w:tc>
        <w:tc>
          <w:tcPr>
            <w:tcW w:w="1554" w:type="dxa"/>
            <w:noWrap/>
            <w:hideMark/>
          </w:tcPr>
          <w:p w14:paraId="71A89E1B" w14:textId="77777777" w:rsidR="00F91FB6" w:rsidRPr="001D1E4A" w:rsidRDefault="00F91FB6" w:rsidP="00E64E4D">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264</w:t>
            </w:r>
          </w:p>
        </w:tc>
        <w:tc>
          <w:tcPr>
            <w:tcW w:w="997" w:type="dxa"/>
            <w:noWrap/>
            <w:hideMark/>
          </w:tcPr>
          <w:p w14:paraId="6CC66E43" w14:textId="77777777" w:rsidR="00F91FB6" w:rsidRPr="001D1E4A" w:rsidRDefault="00F91FB6" w:rsidP="00E64E4D">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0.001</w:t>
            </w:r>
          </w:p>
        </w:tc>
        <w:tc>
          <w:tcPr>
            <w:tcW w:w="1276" w:type="dxa"/>
            <w:noWrap/>
            <w:hideMark/>
          </w:tcPr>
          <w:p w14:paraId="1380F54E" w14:textId="77777777" w:rsidR="00F91FB6" w:rsidRPr="001D1E4A" w:rsidRDefault="00F91FB6" w:rsidP="00E64E4D">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0.004</w:t>
            </w:r>
          </w:p>
        </w:tc>
        <w:tc>
          <w:tcPr>
            <w:tcW w:w="1134" w:type="dxa"/>
            <w:noWrap/>
            <w:hideMark/>
          </w:tcPr>
          <w:p w14:paraId="554F79A4" w14:textId="77777777" w:rsidR="00F91FB6" w:rsidRPr="001D1E4A" w:rsidRDefault="00F91FB6" w:rsidP="00E64E4D">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-0.015</w:t>
            </w:r>
          </w:p>
        </w:tc>
        <w:tc>
          <w:tcPr>
            <w:tcW w:w="1276" w:type="dxa"/>
            <w:noWrap/>
            <w:hideMark/>
          </w:tcPr>
          <w:p w14:paraId="64FA6D48" w14:textId="77777777" w:rsidR="00F91FB6" w:rsidRPr="001D1E4A" w:rsidRDefault="00F91FB6" w:rsidP="00E64E4D">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0.013</w:t>
            </w:r>
          </w:p>
        </w:tc>
      </w:tr>
      <w:tr w:rsidR="00F91FB6" w:rsidRPr="001D1E4A" w14:paraId="4617C7C9" w14:textId="77777777" w:rsidTr="00E64E4D">
        <w:trPr>
          <w:trHeight w:val="283"/>
        </w:trPr>
        <w:tc>
          <w:tcPr>
            <w:tcW w:w="1555" w:type="dxa"/>
            <w:noWrap/>
            <w:hideMark/>
          </w:tcPr>
          <w:p w14:paraId="73CBCC07" w14:textId="36D28AD5" w:rsidR="00F91FB6" w:rsidRPr="005B0013" w:rsidRDefault="005B0013" w:rsidP="00E64E4D">
            <w:pPr>
              <w:rPr>
                <w:rFonts w:ascii="Calibri" w:eastAsia="Times New Roman" w:hAnsi="Calibri" w:cs="Calibri"/>
                <w:color w:val="000000"/>
                <w:lang w:val="es-CL" w:eastAsia="es-CL"/>
              </w:rPr>
            </w:pPr>
            <m:oMathPara>
              <m:oMathParaPr>
                <m:jc m:val="left"/>
              </m:oMathParaPr>
              <m:oMath>
                <m:r>
                  <w:rPr>
                    <w:rFonts w:ascii="Cambria Math" w:eastAsia="Times New Roman" w:hAnsi="Cambria Math" w:cs="Calibri"/>
                    <w:color w:val="000000"/>
                  </w:rPr>
                  <m:t>∆E</m:t>
                </m:r>
              </m:oMath>
            </m:oMathPara>
          </w:p>
        </w:tc>
        <w:tc>
          <w:tcPr>
            <w:tcW w:w="1554" w:type="dxa"/>
            <w:noWrap/>
            <w:hideMark/>
          </w:tcPr>
          <w:p w14:paraId="6C5F2D3D" w14:textId="77777777" w:rsidR="00F91FB6" w:rsidRPr="001D1E4A" w:rsidRDefault="00F91FB6" w:rsidP="00E64E4D">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264</w:t>
            </w:r>
          </w:p>
        </w:tc>
        <w:tc>
          <w:tcPr>
            <w:tcW w:w="997" w:type="dxa"/>
            <w:noWrap/>
            <w:hideMark/>
          </w:tcPr>
          <w:p w14:paraId="1A577160" w14:textId="77777777" w:rsidR="00F91FB6" w:rsidRPr="001D1E4A" w:rsidRDefault="00F91FB6" w:rsidP="00E64E4D">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0.002</w:t>
            </w:r>
          </w:p>
        </w:tc>
        <w:tc>
          <w:tcPr>
            <w:tcW w:w="1276" w:type="dxa"/>
            <w:noWrap/>
            <w:hideMark/>
          </w:tcPr>
          <w:p w14:paraId="27A53F3A" w14:textId="77777777" w:rsidR="00F91FB6" w:rsidRPr="001D1E4A" w:rsidRDefault="00F91FB6" w:rsidP="00E64E4D">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0.027</w:t>
            </w:r>
          </w:p>
        </w:tc>
        <w:tc>
          <w:tcPr>
            <w:tcW w:w="1134" w:type="dxa"/>
            <w:noWrap/>
            <w:hideMark/>
          </w:tcPr>
          <w:p w14:paraId="09775543" w14:textId="77777777" w:rsidR="00F91FB6" w:rsidRPr="001D1E4A" w:rsidRDefault="00F91FB6" w:rsidP="00E64E4D">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-0.070</w:t>
            </w:r>
          </w:p>
        </w:tc>
        <w:tc>
          <w:tcPr>
            <w:tcW w:w="1276" w:type="dxa"/>
            <w:noWrap/>
            <w:hideMark/>
          </w:tcPr>
          <w:p w14:paraId="420E9FDD" w14:textId="77777777" w:rsidR="00F91FB6" w:rsidRPr="001D1E4A" w:rsidRDefault="00F91FB6" w:rsidP="00E64E4D">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0.166</w:t>
            </w:r>
          </w:p>
        </w:tc>
      </w:tr>
      <w:tr w:rsidR="00FA2E3E" w:rsidRPr="001D1E4A" w14:paraId="2D46DF3D" w14:textId="77777777" w:rsidTr="00E64E4D">
        <w:trPr>
          <w:trHeight w:val="283"/>
        </w:trPr>
        <w:tc>
          <w:tcPr>
            <w:tcW w:w="1555" w:type="dxa"/>
            <w:noWrap/>
            <w:hideMark/>
          </w:tcPr>
          <w:p w14:paraId="19585672" w14:textId="4C81DD6B" w:rsidR="00FA2E3E" w:rsidRPr="00FA2E3E" w:rsidRDefault="0062217F" w:rsidP="00FA2E3E">
            <w:pPr>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1</m:t>
                    </m:r>
                  </m:sub>
                </m:sSub>
              </m:oMath>
            </m:oMathPara>
          </w:p>
        </w:tc>
        <w:tc>
          <w:tcPr>
            <w:tcW w:w="1554" w:type="dxa"/>
            <w:noWrap/>
            <w:hideMark/>
          </w:tcPr>
          <w:p w14:paraId="6CF90085"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264</w:t>
            </w:r>
          </w:p>
        </w:tc>
        <w:tc>
          <w:tcPr>
            <w:tcW w:w="997" w:type="dxa"/>
            <w:noWrap/>
            <w:hideMark/>
          </w:tcPr>
          <w:p w14:paraId="2795D57F"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0.049</w:t>
            </w:r>
          </w:p>
        </w:tc>
        <w:tc>
          <w:tcPr>
            <w:tcW w:w="1276" w:type="dxa"/>
            <w:noWrap/>
            <w:hideMark/>
          </w:tcPr>
          <w:p w14:paraId="3A2C2142"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0.217</w:t>
            </w:r>
          </w:p>
        </w:tc>
        <w:tc>
          <w:tcPr>
            <w:tcW w:w="1134" w:type="dxa"/>
            <w:noWrap/>
            <w:hideMark/>
          </w:tcPr>
          <w:p w14:paraId="4A04BCB0"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0.000</w:t>
            </w:r>
          </w:p>
        </w:tc>
        <w:tc>
          <w:tcPr>
            <w:tcW w:w="1276" w:type="dxa"/>
            <w:noWrap/>
            <w:hideMark/>
          </w:tcPr>
          <w:p w14:paraId="32C7925E"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1.000</w:t>
            </w:r>
          </w:p>
        </w:tc>
      </w:tr>
      <w:tr w:rsidR="00FA2E3E" w:rsidRPr="001D1E4A" w14:paraId="401E56B5" w14:textId="77777777" w:rsidTr="00E64E4D">
        <w:trPr>
          <w:trHeight w:val="283"/>
        </w:trPr>
        <w:tc>
          <w:tcPr>
            <w:tcW w:w="1555" w:type="dxa"/>
            <w:noWrap/>
            <w:hideMark/>
          </w:tcPr>
          <w:p w14:paraId="12EEFEC1" w14:textId="12158505" w:rsidR="00FA2E3E" w:rsidRPr="00FA2E3E" w:rsidRDefault="0062217F" w:rsidP="00FA2E3E">
            <w:pPr>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2</m:t>
                    </m:r>
                  </m:sub>
                </m:sSub>
              </m:oMath>
            </m:oMathPara>
          </w:p>
        </w:tc>
        <w:tc>
          <w:tcPr>
            <w:tcW w:w="1554" w:type="dxa"/>
            <w:noWrap/>
            <w:hideMark/>
          </w:tcPr>
          <w:p w14:paraId="75AFF28C"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264</w:t>
            </w:r>
          </w:p>
        </w:tc>
        <w:tc>
          <w:tcPr>
            <w:tcW w:w="997" w:type="dxa"/>
            <w:noWrap/>
            <w:hideMark/>
          </w:tcPr>
          <w:p w14:paraId="79F8ED27"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0.019</w:t>
            </w:r>
          </w:p>
        </w:tc>
        <w:tc>
          <w:tcPr>
            <w:tcW w:w="1276" w:type="dxa"/>
            <w:noWrap/>
            <w:hideMark/>
          </w:tcPr>
          <w:p w14:paraId="5DAEDA97"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0.137</w:t>
            </w:r>
          </w:p>
        </w:tc>
        <w:tc>
          <w:tcPr>
            <w:tcW w:w="1134" w:type="dxa"/>
            <w:noWrap/>
            <w:hideMark/>
          </w:tcPr>
          <w:p w14:paraId="1804C294"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0.000</w:t>
            </w:r>
          </w:p>
        </w:tc>
        <w:tc>
          <w:tcPr>
            <w:tcW w:w="1276" w:type="dxa"/>
            <w:noWrap/>
            <w:hideMark/>
          </w:tcPr>
          <w:p w14:paraId="09A95494"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1.000</w:t>
            </w:r>
          </w:p>
        </w:tc>
      </w:tr>
      <w:tr w:rsidR="00FA2E3E" w:rsidRPr="001D1E4A" w14:paraId="28CB9269" w14:textId="77777777" w:rsidTr="00E64E4D">
        <w:trPr>
          <w:trHeight w:val="283"/>
        </w:trPr>
        <w:tc>
          <w:tcPr>
            <w:tcW w:w="1555" w:type="dxa"/>
            <w:noWrap/>
            <w:hideMark/>
          </w:tcPr>
          <w:p w14:paraId="66F12648" w14:textId="3E03CFDA" w:rsidR="00FA2E3E" w:rsidRPr="00FA2E3E" w:rsidRDefault="0062217F" w:rsidP="00FA2E3E">
            <w:pPr>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3</m:t>
                    </m:r>
                  </m:sub>
                </m:sSub>
              </m:oMath>
            </m:oMathPara>
          </w:p>
        </w:tc>
        <w:tc>
          <w:tcPr>
            <w:tcW w:w="1554" w:type="dxa"/>
            <w:noWrap/>
            <w:hideMark/>
          </w:tcPr>
          <w:p w14:paraId="4C5691C4"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264</w:t>
            </w:r>
          </w:p>
        </w:tc>
        <w:tc>
          <w:tcPr>
            <w:tcW w:w="997" w:type="dxa"/>
            <w:noWrap/>
            <w:hideMark/>
          </w:tcPr>
          <w:p w14:paraId="3022DE7A"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0.015</w:t>
            </w:r>
          </w:p>
        </w:tc>
        <w:tc>
          <w:tcPr>
            <w:tcW w:w="1276" w:type="dxa"/>
            <w:noWrap/>
            <w:hideMark/>
          </w:tcPr>
          <w:p w14:paraId="44BDB2BB"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0.122</w:t>
            </w:r>
          </w:p>
        </w:tc>
        <w:tc>
          <w:tcPr>
            <w:tcW w:w="1134" w:type="dxa"/>
            <w:noWrap/>
            <w:hideMark/>
          </w:tcPr>
          <w:p w14:paraId="3C7E838E"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0.000</w:t>
            </w:r>
          </w:p>
        </w:tc>
        <w:tc>
          <w:tcPr>
            <w:tcW w:w="1276" w:type="dxa"/>
            <w:noWrap/>
            <w:hideMark/>
          </w:tcPr>
          <w:p w14:paraId="5C89AD56"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1.000</w:t>
            </w:r>
          </w:p>
        </w:tc>
      </w:tr>
      <w:tr w:rsidR="00FA2E3E" w:rsidRPr="001D1E4A" w14:paraId="12C02F1A" w14:textId="77777777" w:rsidTr="00E64E4D">
        <w:trPr>
          <w:trHeight w:val="283"/>
        </w:trPr>
        <w:tc>
          <w:tcPr>
            <w:tcW w:w="1555" w:type="dxa"/>
            <w:noWrap/>
            <w:hideMark/>
          </w:tcPr>
          <w:p w14:paraId="24BC9BA4" w14:textId="2C9954CA" w:rsidR="00FA2E3E" w:rsidRPr="00FA2E3E" w:rsidRDefault="0062217F" w:rsidP="00FA2E3E">
            <w:pPr>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4</m:t>
                    </m:r>
                  </m:sub>
                </m:sSub>
              </m:oMath>
            </m:oMathPara>
          </w:p>
        </w:tc>
        <w:tc>
          <w:tcPr>
            <w:tcW w:w="1554" w:type="dxa"/>
            <w:noWrap/>
            <w:hideMark/>
          </w:tcPr>
          <w:p w14:paraId="72AB9FB8"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264</w:t>
            </w:r>
          </w:p>
        </w:tc>
        <w:tc>
          <w:tcPr>
            <w:tcW w:w="997" w:type="dxa"/>
            <w:noWrap/>
            <w:hideMark/>
          </w:tcPr>
          <w:p w14:paraId="3D1B3813"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0.019</w:t>
            </w:r>
          </w:p>
        </w:tc>
        <w:tc>
          <w:tcPr>
            <w:tcW w:w="1276" w:type="dxa"/>
            <w:noWrap/>
            <w:hideMark/>
          </w:tcPr>
          <w:p w14:paraId="58430FD6"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0.137</w:t>
            </w:r>
          </w:p>
        </w:tc>
        <w:tc>
          <w:tcPr>
            <w:tcW w:w="1134" w:type="dxa"/>
            <w:noWrap/>
            <w:hideMark/>
          </w:tcPr>
          <w:p w14:paraId="1FC363E7"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0.000</w:t>
            </w:r>
          </w:p>
        </w:tc>
        <w:tc>
          <w:tcPr>
            <w:tcW w:w="1276" w:type="dxa"/>
            <w:noWrap/>
            <w:hideMark/>
          </w:tcPr>
          <w:p w14:paraId="25DC629F"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1.000</w:t>
            </w:r>
          </w:p>
        </w:tc>
      </w:tr>
      <w:tr w:rsidR="00FA2E3E" w:rsidRPr="001D1E4A" w14:paraId="399733B4" w14:textId="77777777" w:rsidTr="00E64E4D">
        <w:trPr>
          <w:trHeight w:val="283"/>
        </w:trPr>
        <w:tc>
          <w:tcPr>
            <w:tcW w:w="1555" w:type="dxa"/>
            <w:noWrap/>
            <w:hideMark/>
          </w:tcPr>
          <w:p w14:paraId="71DBBAE7" w14:textId="42AC9FCB" w:rsidR="00FA2E3E" w:rsidRPr="00FA2E3E" w:rsidRDefault="0062217F" w:rsidP="00FA2E3E">
            <w:pPr>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5</m:t>
                    </m:r>
                  </m:sub>
                </m:sSub>
              </m:oMath>
            </m:oMathPara>
          </w:p>
        </w:tc>
        <w:tc>
          <w:tcPr>
            <w:tcW w:w="1554" w:type="dxa"/>
            <w:noWrap/>
            <w:hideMark/>
          </w:tcPr>
          <w:p w14:paraId="159E348B"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264</w:t>
            </w:r>
          </w:p>
        </w:tc>
        <w:tc>
          <w:tcPr>
            <w:tcW w:w="997" w:type="dxa"/>
            <w:noWrap/>
            <w:hideMark/>
          </w:tcPr>
          <w:p w14:paraId="71527F73"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0.015</w:t>
            </w:r>
          </w:p>
        </w:tc>
        <w:tc>
          <w:tcPr>
            <w:tcW w:w="1276" w:type="dxa"/>
            <w:noWrap/>
            <w:hideMark/>
          </w:tcPr>
          <w:p w14:paraId="04F05F82"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0.122</w:t>
            </w:r>
          </w:p>
        </w:tc>
        <w:tc>
          <w:tcPr>
            <w:tcW w:w="1134" w:type="dxa"/>
            <w:noWrap/>
            <w:hideMark/>
          </w:tcPr>
          <w:p w14:paraId="148CB41A"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0.000</w:t>
            </w:r>
          </w:p>
        </w:tc>
        <w:tc>
          <w:tcPr>
            <w:tcW w:w="1276" w:type="dxa"/>
            <w:noWrap/>
            <w:hideMark/>
          </w:tcPr>
          <w:p w14:paraId="74E613EC"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1.000</w:t>
            </w:r>
          </w:p>
        </w:tc>
      </w:tr>
      <w:tr w:rsidR="00FA2E3E" w:rsidRPr="001D1E4A" w14:paraId="349E48EF" w14:textId="77777777" w:rsidTr="00E64E4D">
        <w:trPr>
          <w:trHeight w:val="283"/>
        </w:trPr>
        <w:tc>
          <w:tcPr>
            <w:tcW w:w="1555" w:type="dxa"/>
            <w:noWrap/>
            <w:hideMark/>
          </w:tcPr>
          <w:p w14:paraId="78A75AAD" w14:textId="53BFE03F" w:rsidR="00FA2E3E" w:rsidRPr="00FA2E3E" w:rsidRDefault="0062217F" w:rsidP="00FA2E3E">
            <w:pPr>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6</m:t>
                    </m:r>
                  </m:sub>
                </m:sSub>
              </m:oMath>
            </m:oMathPara>
          </w:p>
        </w:tc>
        <w:tc>
          <w:tcPr>
            <w:tcW w:w="1554" w:type="dxa"/>
            <w:noWrap/>
            <w:hideMark/>
          </w:tcPr>
          <w:p w14:paraId="474E9A54"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264</w:t>
            </w:r>
          </w:p>
        </w:tc>
        <w:tc>
          <w:tcPr>
            <w:tcW w:w="997" w:type="dxa"/>
            <w:noWrap/>
            <w:hideMark/>
          </w:tcPr>
          <w:p w14:paraId="2D836F8B"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0.030</w:t>
            </w:r>
          </w:p>
        </w:tc>
        <w:tc>
          <w:tcPr>
            <w:tcW w:w="1276" w:type="dxa"/>
            <w:noWrap/>
            <w:hideMark/>
          </w:tcPr>
          <w:p w14:paraId="265AF7F9"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0.172</w:t>
            </w:r>
          </w:p>
        </w:tc>
        <w:tc>
          <w:tcPr>
            <w:tcW w:w="1134" w:type="dxa"/>
            <w:noWrap/>
            <w:hideMark/>
          </w:tcPr>
          <w:p w14:paraId="0AE7C215"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0.000</w:t>
            </w:r>
          </w:p>
        </w:tc>
        <w:tc>
          <w:tcPr>
            <w:tcW w:w="1276" w:type="dxa"/>
            <w:noWrap/>
            <w:hideMark/>
          </w:tcPr>
          <w:p w14:paraId="780D6310" w14:textId="77777777" w:rsidR="00FA2E3E" w:rsidRPr="001D1E4A" w:rsidRDefault="00FA2E3E" w:rsidP="00FA2E3E">
            <w:pPr>
              <w:jc w:val="center"/>
              <w:rPr>
                <w:rFonts w:ascii="Calibri" w:eastAsia="Times New Roman" w:hAnsi="Calibri" w:cs="Calibri"/>
                <w:color w:val="000000"/>
                <w:lang w:val="es-CL" w:eastAsia="es-CL"/>
              </w:rPr>
            </w:pPr>
            <w:r w:rsidRPr="001D1E4A">
              <w:rPr>
                <w:rFonts w:ascii="Calibri" w:eastAsia="Times New Roman" w:hAnsi="Calibri" w:cs="Calibri"/>
                <w:color w:val="000000"/>
                <w:lang w:val="es-CL" w:eastAsia="es-CL"/>
              </w:rPr>
              <w:t>1.000</w:t>
            </w:r>
          </w:p>
        </w:tc>
      </w:tr>
    </w:tbl>
    <w:p w14:paraId="3C251868" w14:textId="3A06E5A6" w:rsidR="00C26133" w:rsidRPr="00A53F45" w:rsidRDefault="00C26133" w:rsidP="00EF7083">
      <w:pPr>
        <w:jc w:val="both"/>
        <w:rPr>
          <w:rFonts w:eastAsiaTheme="minorEastAsia"/>
          <w:sz w:val="24"/>
          <w:szCs w:val="24"/>
          <w:lang w:val="es-CL"/>
        </w:rPr>
      </w:pPr>
    </w:p>
    <w:p w14:paraId="30C36505" w14:textId="7EFA0F4C" w:rsidR="00EF7083" w:rsidRPr="003B6C66" w:rsidRDefault="00EF7083" w:rsidP="00EF7083">
      <w:pPr>
        <w:jc w:val="both"/>
        <w:rPr>
          <w:rFonts w:eastAsiaTheme="minorEastAsia"/>
          <w:sz w:val="24"/>
          <w:szCs w:val="24"/>
        </w:rPr>
      </w:pPr>
      <w:r w:rsidRPr="003B6C66">
        <w:rPr>
          <w:rFonts w:eastAsiaTheme="minorEastAsia"/>
          <w:b/>
          <w:bCs/>
          <w:sz w:val="24"/>
          <w:szCs w:val="24"/>
        </w:rPr>
        <w:t>Tabl</w:t>
      </w:r>
      <w:r w:rsidR="003524AD" w:rsidRPr="003B6C66">
        <w:rPr>
          <w:rFonts w:eastAsiaTheme="minorEastAsia"/>
          <w:b/>
          <w:bCs/>
          <w:sz w:val="24"/>
          <w:szCs w:val="24"/>
        </w:rPr>
        <w:t>e</w:t>
      </w:r>
      <w:r w:rsidRPr="003B6C66">
        <w:rPr>
          <w:rFonts w:eastAsiaTheme="minorEastAsia"/>
          <w:b/>
          <w:bCs/>
          <w:sz w:val="24"/>
          <w:szCs w:val="24"/>
        </w:rPr>
        <w:t xml:space="preserve"> A2. </w:t>
      </w:r>
      <w:r w:rsidR="0046344B" w:rsidRPr="003B6C66">
        <w:rPr>
          <w:rFonts w:eastAsiaTheme="minorEastAsia"/>
          <w:b/>
          <w:bCs/>
          <w:sz w:val="24"/>
          <w:szCs w:val="24"/>
        </w:rPr>
        <w:t>Simulation of monthly inflation for the year 2021 and January and February 2022 (months outside the sample) with the estimates by TSLS.</w:t>
      </w:r>
    </w:p>
    <w:tbl>
      <w:tblPr>
        <w:tblStyle w:val="Tablaconcuadrculaclara"/>
        <w:tblW w:w="9443" w:type="dxa"/>
        <w:tblLayout w:type="fixed"/>
        <w:tblLook w:val="04A0" w:firstRow="1" w:lastRow="0" w:firstColumn="1" w:lastColumn="0" w:noHBand="0" w:noVBand="1"/>
      </w:tblPr>
      <w:tblGrid>
        <w:gridCol w:w="626"/>
        <w:gridCol w:w="787"/>
        <w:gridCol w:w="863"/>
        <w:gridCol w:w="1190"/>
        <w:gridCol w:w="1037"/>
        <w:gridCol w:w="1162"/>
        <w:gridCol w:w="1418"/>
        <w:gridCol w:w="1134"/>
        <w:gridCol w:w="1226"/>
      </w:tblGrid>
      <w:tr w:rsidR="00EF7083" w:rsidRPr="00CD4533" w14:paraId="4CB50D96" w14:textId="77777777" w:rsidTr="006866F6">
        <w:trPr>
          <w:trHeight w:val="286"/>
        </w:trPr>
        <w:tc>
          <w:tcPr>
            <w:tcW w:w="9443" w:type="dxa"/>
            <w:gridSpan w:val="9"/>
            <w:shd w:val="clear" w:color="auto" w:fill="D9E2F3" w:themeFill="accent1" w:themeFillTint="33"/>
            <w:noWrap/>
            <w:hideMark/>
          </w:tcPr>
          <w:p w14:paraId="57D976F2" w14:textId="1FA16E3E" w:rsidR="00EF7083" w:rsidRPr="003B6C66" w:rsidRDefault="003524AD" w:rsidP="003524AD">
            <w:pPr>
              <w:jc w:val="center"/>
              <w:rPr>
                <w:rFonts w:ascii="Calibri" w:eastAsia="Times New Roman" w:hAnsi="Calibri" w:cs="Calibri"/>
                <w:b/>
                <w:bCs/>
                <w:color w:val="000000"/>
                <w:sz w:val="20"/>
                <w:szCs w:val="20"/>
              </w:rPr>
            </w:pPr>
            <w:r w:rsidRPr="003B6C66">
              <w:rPr>
                <w:rFonts w:ascii="Calibri" w:eastAsia="Times New Roman" w:hAnsi="Calibri" w:cs="Calibri"/>
                <w:b/>
                <w:bCs/>
                <w:color w:val="000000"/>
                <w:sz w:val="20"/>
                <w:szCs w:val="20"/>
              </w:rPr>
              <w:t>Simulation of monthly inflation in Chile (contributions, 2021-February 2022)</w:t>
            </w:r>
          </w:p>
        </w:tc>
      </w:tr>
      <w:tr w:rsidR="00EF7083" w:rsidRPr="00D05614" w14:paraId="012B7F76" w14:textId="77777777" w:rsidTr="00C954C5">
        <w:trPr>
          <w:trHeight w:val="818"/>
        </w:trPr>
        <w:tc>
          <w:tcPr>
            <w:tcW w:w="626" w:type="dxa"/>
            <w:hideMark/>
          </w:tcPr>
          <w:p w14:paraId="58D70E01" w14:textId="3DA1C948" w:rsidR="00EF7083" w:rsidRPr="008F684A" w:rsidRDefault="003B47DF" w:rsidP="006866F6">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Year</w:t>
            </w:r>
          </w:p>
        </w:tc>
        <w:tc>
          <w:tcPr>
            <w:tcW w:w="787" w:type="dxa"/>
            <w:hideMark/>
          </w:tcPr>
          <w:p w14:paraId="4D412663" w14:textId="60274D74" w:rsidR="00EF7083" w:rsidRPr="008F684A" w:rsidRDefault="00EF7083" w:rsidP="006866F6">
            <w:pPr>
              <w:rPr>
                <w:rFonts w:ascii="Calibri" w:eastAsia="Times New Roman" w:hAnsi="Calibri" w:cs="Calibri"/>
                <w:b/>
                <w:bCs/>
                <w:color w:val="000000"/>
                <w:sz w:val="20"/>
                <w:szCs w:val="20"/>
              </w:rPr>
            </w:pPr>
            <w:r w:rsidRPr="008F684A">
              <w:rPr>
                <w:rFonts w:ascii="Calibri" w:eastAsia="Times New Roman" w:hAnsi="Calibri" w:cs="Calibri"/>
                <w:b/>
                <w:bCs/>
                <w:color w:val="000000"/>
                <w:sz w:val="20"/>
                <w:szCs w:val="20"/>
              </w:rPr>
              <w:t>M</w:t>
            </w:r>
            <w:r w:rsidR="003B47DF">
              <w:rPr>
                <w:rFonts w:ascii="Calibri" w:eastAsia="Times New Roman" w:hAnsi="Calibri" w:cs="Calibri"/>
                <w:b/>
                <w:bCs/>
                <w:color w:val="000000"/>
                <w:sz w:val="20"/>
                <w:szCs w:val="20"/>
              </w:rPr>
              <w:t>onth</w:t>
            </w:r>
          </w:p>
        </w:tc>
        <w:tc>
          <w:tcPr>
            <w:tcW w:w="863" w:type="dxa"/>
            <w:hideMark/>
          </w:tcPr>
          <w:p w14:paraId="576A7EA1" w14:textId="2CDBD2EE" w:rsidR="00EF7083" w:rsidRPr="008F684A" w:rsidRDefault="00C954C5" w:rsidP="006866F6">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Mon. </w:t>
            </w:r>
            <w:r w:rsidR="00EF7083" w:rsidRPr="008F684A">
              <w:rPr>
                <w:rFonts w:ascii="Calibri" w:eastAsia="Times New Roman" w:hAnsi="Calibri" w:cs="Calibri"/>
                <w:b/>
                <w:bCs/>
                <w:color w:val="000000"/>
                <w:sz w:val="20"/>
                <w:szCs w:val="20"/>
              </w:rPr>
              <w:t>Inf. 2021</w:t>
            </w:r>
          </w:p>
        </w:tc>
        <w:tc>
          <w:tcPr>
            <w:tcW w:w="1190" w:type="dxa"/>
            <w:hideMark/>
          </w:tcPr>
          <w:p w14:paraId="2B88B816" w14:textId="6F7E487B" w:rsidR="00EF7083" w:rsidRPr="003B47DF" w:rsidRDefault="003B47DF" w:rsidP="006866F6">
            <w:pPr>
              <w:rPr>
                <w:rFonts w:ascii="Calibri" w:eastAsia="Times New Roman" w:hAnsi="Calibri" w:cs="Calibri"/>
                <w:b/>
                <w:color w:val="000000"/>
                <w:sz w:val="20"/>
                <w:szCs w:val="20"/>
              </w:rPr>
            </w:pPr>
            <m:oMathPara>
              <m:oMath>
                <m:r>
                  <m:rPr>
                    <m:sty m:val="bi"/>
                  </m:rPr>
                  <w:rPr>
                    <w:rFonts w:ascii="Cambria Math" w:eastAsia="Times New Roman" w:hAnsi="Cambria Math" w:cs="Calibri"/>
                    <w:color w:val="000000"/>
                  </w:rPr>
                  <m:t>∆E</m:t>
                </m:r>
              </m:oMath>
            </m:oMathPara>
          </w:p>
        </w:tc>
        <w:tc>
          <w:tcPr>
            <w:tcW w:w="1037" w:type="dxa"/>
            <w:hideMark/>
          </w:tcPr>
          <w:p w14:paraId="370AF66A" w14:textId="44C2B11C" w:rsidR="00EF7083" w:rsidRPr="008F684A" w:rsidRDefault="00EF7083" w:rsidP="006866F6">
            <w:pPr>
              <w:rPr>
                <w:rFonts w:ascii="Calibri" w:eastAsia="Times New Roman" w:hAnsi="Calibri" w:cs="Calibri"/>
                <w:b/>
                <w:bCs/>
                <w:color w:val="000000"/>
                <w:sz w:val="20"/>
                <w:szCs w:val="20"/>
              </w:rPr>
            </w:pPr>
            <w:r w:rsidRPr="008F684A">
              <w:rPr>
                <w:rFonts w:ascii="Calibri" w:eastAsia="Times New Roman" w:hAnsi="Calibri" w:cs="Calibri"/>
                <w:b/>
                <w:bCs/>
                <w:color w:val="000000"/>
                <w:sz w:val="20"/>
                <w:szCs w:val="20"/>
              </w:rPr>
              <w:t>US</w:t>
            </w:r>
            <w:r w:rsidR="003B47DF">
              <w:rPr>
                <w:rFonts w:ascii="Calibri" w:eastAsia="Times New Roman" w:hAnsi="Calibri" w:cs="Calibri"/>
                <w:b/>
                <w:bCs/>
                <w:color w:val="000000"/>
                <w:sz w:val="20"/>
                <w:szCs w:val="20"/>
              </w:rPr>
              <w:t xml:space="preserve"> </w:t>
            </w:r>
            <w:r w:rsidR="003B47DF" w:rsidRPr="008F684A">
              <w:rPr>
                <w:rFonts w:ascii="Calibri" w:eastAsia="Times New Roman" w:hAnsi="Calibri" w:cs="Calibri"/>
                <w:b/>
                <w:bCs/>
                <w:color w:val="000000"/>
                <w:sz w:val="20"/>
                <w:szCs w:val="20"/>
              </w:rPr>
              <w:t>Inf.</w:t>
            </w:r>
          </w:p>
        </w:tc>
        <w:tc>
          <w:tcPr>
            <w:tcW w:w="1162" w:type="dxa"/>
            <w:hideMark/>
          </w:tcPr>
          <w:p w14:paraId="3A9C12DB" w14:textId="7C0E397C" w:rsidR="00EF7083" w:rsidRPr="008F684A" w:rsidRDefault="00EF7083" w:rsidP="006866F6">
            <w:pPr>
              <w:rPr>
                <w:rFonts w:ascii="Calibri" w:eastAsia="Times New Roman" w:hAnsi="Calibri" w:cs="Calibri"/>
                <w:b/>
                <w:bCs/>
                <w:color w:val="000000"/>
                <w:sz w:val="20"/>
                <w:szCs w:val="20"/>
              </w:rPr>
            </w:pPr>
            <w:r w:rsidRPr="008F684A">
              <w:rPr>
                <w:rFonts w:ascii="Calibri" w:eastAsia="Times New Roman" w:hAnsi="Calibri" w:cs="Calibri"/>
                <w:b/>
                <w:bCs/>
                <w:color w:val="000000"/>
                <w:sz w:val="20"/>
                <w:szCs w:val="20"/>
              </w:rPr>
              <w:t>China</w:t>
            </w:r>
            <w:r w:rsidR="003B47DF">
              <w:rPr>
                <w:rFonts w:ascii="Calibri" w:eastAsia="Times New Roman" w:hAnsi="Calibri" w:cs="Calibri"/>
                <w:b/>
                <w:bCs/>
                <w:color w:val="000000"/>
                <w:sz w:val="20"/>
                <w:szCs w:val="20"/>
              </w:rPr>
              <w:t xml:space="preserve"> </w:t>
            </w:r>
            <w:r w:rsidR="003B47DF" w:rsidRPr="008F684A">
              <w:rPr>
                <w:rFonts w:ascii="Calibri" w:eastAsia="Times New Roman" w:hAnsi="Calibri" w:cs="Calibri"/>
                <w:b/>
                <w:bCs/>
                <w:color w:val="000000"/>
                <w:sz w:val="20"/>
                <w:szCs w:val="20"/>
              </w:rPr>
              <w:t>Inf.</w:t>
            </w:r>
          </w:p>
        </w:tc>
        <w:tc>
          <w:tcPr>
            <w:tcW w:w="1418" w:type="dxa"/>
            <w:hideMark/>
          </w:tcPr>
          <w:p w14:paraId="108C26F1" w14:textId="4D8D5C00" w:rsidR="00EF7083" w:rsidRPr="008F684A" w:rsidRDefault="003B47DF" w:rsidP="006866F6">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E</w:t>
            </w:r>
            <w:r w:rsidR="00EF7083" w:rsidRPr="008F684A">
              <w:rPr>
                <w:rFonts w:ascii="Calibri" w:eastAsia="Times New Roman" w:hAnsi="Calibri" w:cs="Calibri"/>
                <w:b/>
                <w:bCs/>
                <w:color w:val="000000"/>
                <w:sz w:val="20"/>
                <w:szCs w:val="20"/>
              </w:rPr>
              <w:t>urozon</w:t>
            </w:r>
            <w:r>
              <w:rPr>
                <w:rFonts w:ascii="Calibri" w:eastAsia="Times New Roman" w:hAnsi="Calibri" w:cs="Calibri"/>
                <w:b/>
                <w:bCs/>
                <w:color w:val="000000"/>
                <w:sz w:val="20"/>
                <w:szCs w:val="20"/>
              </w:rPr>
              <w:t xml:space="preserve">e </w:t>
            </w:r>
            <w:r w:rsidRPr="008F684A">
              <w:rPr>
                <w:rFonts w:ascii="Calibri" w:eastAsia="Times New Roman" w:hAnsi="Calibri" w:cs="Calibri"/>
                <w:b/>
                <w:bCs/>
                <w:color w:val="000000"/>
                <w:sz w:val="20"/>
                <w:szCs w:val="20"/>
              </w:rPr>
              <w:t>Inf.</w:t>
            </w:r>
          </w:p>
        </w:tc>
        <w:tc>
          <w:tcPr>
            <w:tcW w:w="1134" w:type="dxa"/>
            <w:hideMark/>
          </w:tcPr>
          <w:p w14:paraId="6BBE94AF" w14:textId="4A487A4A" w:rsidR="00EF7083" w:rsidRPr="008F684A" w:rsidRDefault="00EF7083" w:rsidP="006866F6">
            <w:pPr>
              <w:rPr>
                <w:rFonts w:ascii="Calibri" w:eastAsia="Times New Roman" w:hAnsi="Calibri" w:cs="Calibri"/>
                <w:b/>
                <w:bCs/>
                <w:color w:val="000000"/>
                <w:sz w:val="20"/>
                <w:szCs w:val="20"/>
              </w:rPr>
            </w:pPr>
            <w:r w:rsidRPr="008F684A">
              <w:rPr>
                <w:rFonts w:ascii="Calibri" w:eastAsia="Times New Roman" w:hAnsi="Calibri" w:cs="Calibri"/>
                <w:b/>
                <w:bCs/>
                <w:color w:val="000000"/>
                <w:sz w:val="20"/>
                <w:szCs w:val="20"/>
              </w:rPr>
              <w:t>Chile</w:t>
            </w:r>
            <w:r w:rsidR="003B47DF">
              <w:rPr>
                <w:rFonts w:ascii="Calibri" w:eastAsia="Times New Roman" w:hAnsi="Calibri" w:cs="Calibri"/>
                <w:b/>
                <w:bCs/>
                <w:color w:val="000000"/>
                <w:sz w:val="20"/>
                <w:szCs w:val="20"/>
              </w:rPr>
              <w:t xml:space="preserve"> </w:t>
            </w:r>
            <w:r w:rsidR="003B47DF" w:rsidRPr="008F684A">
              <w:rPr>
                <w:rFonts w:ascii="Calibri" w:eastAsia="Times New Roman" w:hAnsi="Calibri" w:cs="Calibri"/>
                <w:b/>
                <w:bCs/>
                <w:color w:val="000000"/>
                <w:sz w:val="20"/>
                <w:szCs w:val="20"/>
              </w:rPr>
              <w:t xml:space="preserve">Inf. </w:t>
            </w:r>
            <w:r w:rsidRPr="008F684A">
              <w:rPr>
                <w:rFonts w:ascii="Calibri" w:eastAsia="Times New Roman" w:hAnsi="Calibri" w:cs="Calibri"/>
                <w:b/>
                <w:bCs/>
                <w:color w:val="000000"/>
                <w:sz w:val="20"/>
                <w:szCs w:val="20"/>
              </w:rPr>
              <w:t xml:space="preserve"> </w:t>
            </w:r>
            <m:oMath>
              <m:sSub>
                <m:sSubPr>
                  <m:ctrlPr>
                    <w:rPr>
                      <w:rFonts w:ascii="Cambria Math" w:eastAsia="Times New Roman" w:hAnsi="Cambria Math" w:cs="Calibri"/>
                      <w:b/>
                      <w:bCs/>
                      <w:color w:val="000000"/>
                      <w:sz w:val="20"/>
                      <w:szCs w:val="20"/>
                    </w:rPr>
                  </m:ctrlPr>
                </m:sSubPr>
                <m:e>
                  <m:r>
                    <m:rPr>
                      <m:sty m:val="b"/>
                    </m:rPr>
                    <w:rPr>
                      <w:rFonts w:ascii="Cambria Math" w:eastAsia="Times New Roman" w:hAnsi="Cambria Math" w:cs="Calibri"/>
                      <w:color w:val="000000"/>
                      <w:sz w:val="20"/>
                      <w:szCs w:val="20"/>
                    </w:rPr>
                    <m:t>L</m:t>
                  </m:r>
                </m:e>
                <m:sub>
                  <m:r>
                    <m:rPr>
                      <m:sty m:val="b"/>
                    </m:rPr>
                    <w:rPr>
                      <w:rFonts w:ascii="Cambria Math" w:eastAsia="Times New Roman" w:hAnsi="Cambria Math" w:cs="Calibri"/>
                      <w:color w:val="000000"/>
                      <w:sz w:val="20"/>
                      <w:szCs w:val="20"/>
                    </w:rPr>
                    <m:t>1</m:t>
                  </m:r>
                </m:sub>
              </m:sSub>
            </m:oMath>
          </w:p>
        </w:tc>
        <w:tc>
          <w:tcPr>
            <w:tcW w:w="1226" w:type="dxa"/>
            <w:hideMark/>
          </w:tcPr>
          <w:p w14:paraId="095AF311" w14:textId="705E79E3" w:rsidR="00EF7083" w:rsidRPr="008F684A" w:rsidRDefault="00EF7083" w:rsidP="006866F6">
            <w:pPr>
              <w:rPr>
                <w:rFonts w:ascii="Calibri" w:eastAsia="Times New Roman" w:hAnsi="Calibri" w:cs="Calibri"/>
                <w:b/>
                <w:bCs/>
                <w:color w:val="000000"/>
                <w:sz w:val="20"/>
                <w:szCs w:val="20"/>
              </w:rPr>
            </w:pPr>
            <w:r w:rsidRPr="008F684A">
              <w:rPr>
                <w:rFonts w:ascii="Calibri" w:eastAsia="Times New Roman" w:hAnsi="Calibri" w:cs="Calibri"/>
                <w:b/>
                <w:bCs/>
                <w:color w:val="000000"/>
                <w:sz w:val="20"/>
                <w:szCs w:val="20"/>
              </w:rPr>
              <w:t>Simula</w:t>
            </w:r>
            <w:r w:rsidR="003B47DF">
              <w:rPr>
                <w:rFonts w:ascii="Calibri" w:eastAsia="Times New Roman" w:hAnsi="Calibri" w:cs="Calibri"/>
                <w:b/>
                <w:bCs/>
                <w:color w:val="000000"/>
                <w:sz w:val="20"/>
                <w:szCs w:val="20"/>
              </w:rPr>
              <w:t>tion</w:t>
            </w:r>
          </w:p>
        </w:tc>
      </w:tr>
      <w:tr w:rsidR="00EF7083" w:rsidRPr="00D05614" w14:paraId="566C0A35" w14:textId="77777777" w:rsidTr="00C954C5">
        <w:trPr>
          <w:trHeight w:val="286"/>
        </w:trPr>
        <w:tc>
          <w:tcPr>
            <w:tcW w:w="626" w:type="dxa"/>
            <w:noWrap/>
            <w:hideMark/>
          </w:tcPr>
          <w:p w14:paraId="7CC592C0"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2021</w:t>
            </w:r>
          </w:p>
        </w:tc>
        <w:tc>
          <w:tcPr>
            <w:tcW w:w="787" w:type="dxa"/>
            <w:noWrap/>
            <w:hideMark/>
          </w:tcPr>
          <w:p w14:paraId="429BDB7E"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1</w:t>
            </w:r>
          </w:p>
        </w:tc>
        <w:tc>
          <w:tcPr>
            <w:tcW w:w="863" w:type="dxa"/>
            <w:noWrap/>
            <w:hideMark/>
          </w:tcPr>
          <w:p w14:paraId="70404D02"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0.7%</w:t>
            </w:r>
          </w:p>
        </w:tc>
        <w:tc>
          <w:tcPr>
            <w:tcW w:w="1190" w:type="dxa"/>
            <w:noWrap/>
            <w:hideMark/>
          </w:tcPr>
          <w:p w14:paraId="6DD73691"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-0.16734%</w:t>
            </w:r>
          </w:p>
        </w:tc>
        <w:tc>
          <w:tcPr>
            <w:tcW w:w="1037" w:type="dxa"/>
            <w:noWrap/>
            <w:hideMark/>
          </w:tcPr>
          <w:p w14:paraId="745547CB"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0.21269%</w:t>
            </w:r>
          </w:p>
        </w:tc>
        <w:tc>
          <w:tcPr>
            <w:tcW w:w="1162" w:type="dxa"/>
            <w:noWrap/>
            <w:hideMark/>
          </w:tcPr>
          <w:p w14:paraId="06B01EFA"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0.05381%</w:t>
            </w:r>
          </w:p>
        </w:tc>
        <w:tc>
          <w:tcPr>
            <w:tcW w:w="1418" w:type="dxa"/>
            <w:noWrap/>
            <w:hideMark/>
          </w:tcPr>
          <w:p w14:paraId="2DA10369"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0.00800%</w:t>
            </w:r>
          </w:p>
        </w:tc>
        <w:tc>
          <w:tcPr>
            <w:tcW w:w="1134" w:type="dxa"/>
            <w:noWrap/>
            <w:hideMark/>
          </w:tcPr>
          <w:p w14:paraId="150C9B87"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0.09900%</w:t>
            </w:r>
          </w:p>
        </w:tc>
        <w:tc>
          <w:tcPr>
            <w:tcW w:w="1226" w:type="dxa"/>
            <w:noWrap/>
            <w:hideMark/>
          </w:tcPr>
          <w:p w14:paraId="1FB74F5B"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0.20617%</w:t>
            </w:r>
          </w:p>
        </w:tc>
      </w:tr>
      <w:tr w:rsidR="00EF7083" w:rsidRPr="00D05614" w14:paraId="55266015" w14:textId="77777777" w:rsidTr="00C954C5">
        <w:trPr>
          <w:trHeight w:val="286"/>
        </w:trPr>
        <w:tc>
          <w:tcPr>
            <w:tcW w:w="626" w:type="dxa"/>
            <w:noWrap/>
            <w:hideMark/>
          </w:tcPr>
          <w:p w14:paraId="09D07D48"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2021</w:t>
            </w:r>
          </w:p>
        </w:tc>
        <w:tc>
          <w:tcPr>
            <w:tcW w:w="787" w:type="dxa"/>
            <w:noWrap/>
            <w:hideMark/>
          </w:tcPr>
          <w:p w14:paraId="1E62E775"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2</w:t>
            </w:r>
          </w:p>
        </w:tc>
        <w:tc>
          <w:tcPr>
            <w:tcW w:w="863" w:type="dxa"/>
            <w:noWrap/>
            <w:hideMark/>
          </w:tcPr>
          <w:p w14:paraId="5356451A"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0.2%</w:t>
            </w:r>
          </w:p>
        </w:tc>
        <w:tc>
          <w:tcPr>
            <w:tcW w:w="1190" w:type="dxa"/>
            <w:noWrap/>
            <w:hideMark/>
          </w:tcPr>
          <w:p w14:paraId="2FA5C8DE"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-0.01413%</w:t>
            </w:r>
          </w:p>
        </w:tc>
        <w:tc>
          <w:tcPr>
            <w:tcW w:w="1037" w:type="dxa"/>
            <w:noWrap/>
            <w:hideMark/>
          </w:tcPr>
          <w:p w14:paraId="0617BF00"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0.27372%</w:t>
            </w:r>
          </w:p>
        </w:tc>
        <w:tc>
          <w:tcPr>
            <w:tcW w:w="1162" w:type="dxa"/>
            <w:noWrap/>
            <w:hideMark/>
          </w:tcPr>
          <w:p w14:paraId="58070803"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0.03733%</w:t>
            </w:r>
          </w:p>
        </w:tc>
        <w:tc>
          <w:tcPr>
            <w:tcW w:w="1418" w:type="dxa"/>
            <w:noWrap/>
            <w:hideMark/>
          </w:tcPr>
          <w:p w14:paraId="20CB50F4"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0.00800%</w:t>
            </w:r>
          </w:p>
        </w:tc>
        <w:tc>
          <w:tcPr>
            <w:tcW w:w="1134" w:type="dxa"/>
            <w:noWrap/>
            <w:hideMark/>
          </w:tcPr>
          <w:p w14:paraId="32ED6FC4"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0.23100%</w:t>
            </w:r>
          </w:p>
        </w:tc>
        <w:tc>
          <w:tcPr>
            <w:tcW w:w="1226" w:type="dxa"/>
            <w:noWrap/>
            <w:hideMark/>
          </w:tcPr>
          <w:p w14:paraId="59E584D9"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0.53592%</w:t>
            </w:r>
          </w:p>
        </w:tc>
      </w:tr>
      <w:tr w:rsidR="00EF7083" w:rsidRPr="00D05614" w14:paraId="344910AA" w14:textId="77777777" w:rsidTr="00C954C5">
        <w:trPr>
          <w:trHeight w:val="286"/>
        </w:trPr>
        <w:tc>
          <w:tcPr>
            <w:tcW w:w="626" w:type="dxa"/>
            <w:noWrap/>
            <w:hideMark/>
          </w:tcPr>
          <w:p w14:paraId="3C40EB02"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2021</w:t>
            </w:r>
          </w:p>
        </w:tc>
        <w:tc>
          <w:tcPr>
            <w:tcW w:w="787" w:type="dxa"/>
            <w:noWrap/>
            <w:hideMark/>
          </w:tcPr>
          <w:p w14:paraId="21847C5A"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3</w:t>
            </w:r>
          </w:p>
        </w:tc>
        <w:tc>
          <w:tcPr>
            <w:tcW w:w="863" w:type="dxa"/>
            <w:noWrap/>
            <w:hideMark/>
          </w:tcPr>
          <w:p w14:paraId="72A34D40"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0.4%</w:t>
            </w:r>
          </w:p>
        </w:tc>
        <w:tc>
          <w:tcPr>
            <w:tcW w:w="1190" w:type="dxa"/>
            <w:noWrap/>
            <w:hideMark/>
          </w:tcPr>
          <w:p w14:paraId="7DD7982B"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0.05692%</w:t>
            </w:r>
          </w:p>
        </w:tc>
        <w:tc>
          <w:tcPr>
            <w:tcW w:w="1037" w:type="dxa"/>
            <w:noWrap/>
            <w:hideMark/>
          </w:tcPr>
          <w:p w14:paraId="52F596A4"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0.35416%</w:t>
            </w:r>
          </w:p>
        </w:tc>
        <w:tc>
          <w:tcPr>
            <w:tcW w:w="1162" w:type="dxa"/>
            <w:noWrap/>
            <w:hideMark/>
          </w:tcPr>
          <w:p w14:paraId="32A0F682"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-0.02650%</w:t>
            </w:r>
          </w:p>
        </w:tc>
        <w:tc>
          <w:tcPr>
            <w:tcW w:w="1418" w:type="dxa"/>
            <w:noWrap/>
            <w:hideMark/>
          </w:tcPr>
          <w:p w14:paraId="641DA667"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0.03600%</w:t>
            </w:r>
          </w:p>
        </w:tc>
        <w:tc>
          <w:tcPr>
            <w:tcW w:w="1134" w:type="dxa"/>
            <w:noWrap/>
            <w:hideMark/>
          </w:tcPr>
          <w:p w14:paraId="60859AB4"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0.06600%</w:t>
            </w:r>
          </w:p>
        </w:tc>
        <w:tc>
          <w:tcPr>
            <w:tcW w:w="1226" w:type="dxa"/>
            <w:noWrap/>
            <w:hideMark/>
          </w:tcPr>
          <w:p w14:paraId="008CCAB4"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0.48659%</w:t>
            </w:r>
          </w:p>
        </w:tc>
      </w:tr>
      <w:tr w:rsidR="00EF7083" w:rsidRPr="00D05614" w14:paraId="26A2C364" w14:textId="77777777" w:rsidTr="00C954C5">
        <w:trPr>
          <w:trHeight w:val="286"/>
        </w:trPr>
        <w:tc>
          <w:tcPr>
            <w:tcW w:w="626" w:type="dxa"/>
            <w:noWrap/>
            <w:hideMark/>
          </w:tcPr>
          <w:p w14:paraId="72112937"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2021</w:t>
            </w:r>
          </w:p>
        </w:tc>
        <w:tc>
          <w:tcPr>
            <w:tcW w:w="787" w:type="dxa"/>
            <w:noWrap/>
            <w:hideMark/>
          </w:tcPr>
          <w:p w14:paraId="1767180F"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4</w:t>
            </w:r>
          </w:p>
        </w:tc>
        <w:tc>
          <w:tcPr>
            <w:tcW w:w="863" w:type="dxa"/>
            <w:noWrap/>
            <w:hideMark/>
          </w:tcPr>
          <w:p w14:paraId="6912B710"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0.4%</w:t>
            </w:r>
          </w:p>
        </w:tc>
        <w:tc>
          <w:tcPr>
            <w:tcW w:w="1190" w:type="dxa"/>
            <w:noWrap/>
            <w:hideMark/>
          </w:tcPr>
          <w:p w14:paraId="0E05C2D2"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-0.28048%</w:t>
            </w:r>
          </w:p>
        </w:tc>
        <w:tc>
          <w:tcPr>
            <w:tcW w:w="1037" w:type="dxa"/>
            <w:noWrap/>
            <w:hideMark/>
          </w:tcPr>
          <w:p w14:paraId="0E0FBC3F"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0.41095%</w:t>
            </w:r>
          </w:p>
        </w:tc>
        <w:tc>
          <w:tcPr>
            <w:tcW w:w="1162" w:type="dxa"/>
            <w:noWrap/>
            <w:hideMark/>
          </w:tcPr>
          <w:p w14:paraId="0CB57B15"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-0.02130%</w:t>
            </w:r>
          </w:p>
        </w:tc>
        <w:tc>
          <w:tcPr>
            <w:tcW w:w="1418" w:type="dxa"/>
            <w:noWrap/>
            <w:hideMark/>
          </w:tcPr>
          <w:p w14:paraId="293F7EF7"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0.02400%</w:t>
            </w:r>
          </w:p>
        </w:tc>
        <w:tc>
          <w:tcPr>
            <w:tcW w:w="1134" w:type="dxa"/>
            <w:noWrap/>
            <w:hideMark/>
          </w:tcPr>
          <w:p w14:paraId="03F69543"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0.13200%</w:t>
            </w:r>
          </w:p>
        </w:tc>
        <w:tc>
          <w:tcPr>
            <w:tcW w:w="1226" w:type="dxa"/>
            <w:noWrap/>
            <w:hideMark/>
          </w:tcPr>
          <w:p w14:paraId="25C8E26A"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0.26517%</w:t>
            </w:r>
          </w:p>
        </w:tc>
      </w:tr>
      <w:tr w:rsidR="00EF7083" w:rsidRPr="00D05614" w14:paraId="76E9E15B" w14:textId="77777777" w:rsidTr="00C954C5">
        <w:trPr>
          <w:trHeight w:val="286"/>
        </w:trPr>
        <w:tc>
          <w:tcPr>
            <w:tcW w:w="626" w:type="dxa"/>
            <w:noWrap/>
            <w:hideMark/>
          </w:tcPr>
          <w:p w14:paraId="4D2EA6B9"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2021</w:t>
            </w:r>
          </w:p>
        </w:tc>
        <w:tc>
          <w:tcPr>
            <w:tcW w:w="787" w:type="dxa"/>
            <w:noWrap/>
            <w:hideMark/>
          </w:tcPr>
          <w:p w14:paraId="11BEE76B"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5</w:t>
            </w:r>
          </w:p>
        </w:tc>
        <w:tc>
          <w:tcPr>
            <w:tcW w:w="863" w:type="dxa"/>
            <w:noWrap/>
            <w:hideMark/>
          </w:tcPr>
          <w:p w14:paraId="63C0B009"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0.3%</w:t>
            </w:r>
          </w:p>
        </w:tc>
        <w:tc>
          <w:tcPr>
            <w:tcW w:w="1190" w:type="dxa"/>
            <w:noWrap/>
            <w:hideMark/>
          </w:tcPr>
          <w:p w14:paraId="722E4400"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0.06860%</w:t>
            </w:r>
          </w:p>
        </w:tc>
        <w:tc>
          <w:tcPr>
            <w:tcW w:w="1037" w:type="dxa"/>
            <w:noWrap/>
            <w:hideMark/>
          </w:tcPr>
          <w:p w14:paraId="73F3A211"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0.40086%</w:t>
            </w:r>
          </w:p>
        </w:tc>
        <w:tc>
          <w:tcPr>
            <w:tcW w:w="1162" w:type="dxa"/>
            <w:noWrap/>
            <w:hideMark/>
          </w:tcPr>
          <w:p w14:paraId="649D5FEF"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-0.00534%</w:t>
            </w:r>
          </w:p>
        </w:tc>
        <w:tc>
          <w:tcPr>
            <w:tcW w:w="1418" w:type="dxa"/>
            <w:noWrap/>
            <w:hideMark/>
          </w:tcPr>
          <w:p w14:paraId="0476341C"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0.01200%</w:t>
            </w:r>
          </w:p>
        </w:tc>
        <w:tc>
          <w:tcPr>
            <w:tcW w:w="1134" w:type="dxa"/>
            <w:noWrap/>
            <w:hideMark/>
          </w:tcPr>
          <w:p w14:paraId="45B9D94F"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0.13200%</w:t>
            </w:r>
          </w:p>
        </w:tc>
        <w:tc>
          <w:tcPr>
            <w:tcW w:w="1226" w:type="dxa"/>
            <w:noWrap/>
            <w:hideMark/>
          </w:tcPr>
          <w:p w14:paraId="05D27BF4"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0.60811%</w:t>
            </w:r>
          </w:p>
        </w:tc>
      </w:tr>
      <w:tr w:rsidR="00EF7083" w:rsidRPr="00D05614" w14:paraId="4E03DB5B" w14:textId="77777777" w:rsidTr="00C954C5">
        <w:trPr>
          <w:trHeight w:val="286"/>
        </w:trPr>
        <w:tc>
          <w:tcPr>
            <w:tcW w:w="626" w:type="dxa"/>
            <w:noWrap/>
            <w:hideMark/>
          </w:tcPr>
          <w:p w14:paraId="05775639"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2021</w:t>
            </w:r>
          </w:p>
        </w:tc>
        <w:tc>
          <w:tcPr>
            <w:tcW w:w="787" w:type="dxa"/>
            <w:noWrap/>
            <w:hideMark/>
          </w:tcPr>
          <w:p w14:paraId="4E338D6A"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6</w:t>
            </w:r>
          </w:p>
        </w:tc>
        <w:tc>
          <w:tcPr>
            <w:tcW w:w="863" w:type="dxa"/>
            <w:noWrap/>
            <w:hideMark/>
          </w:tcPr>
          <w:p w14:paraId="2AC50B01"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0.1%</w:t>
            </w:r>
          </w:p>
        </w:tc>
        <w:tc>
          <w:tcPr>
            <w:tcW w:w="1190" w:type="dxa"/>
            <w:noWrap/>
            <w:hideMark/>
          </w:tcPr>
          <w:p w14:paraId="6443E3A0"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0.22061%</w:t>
            </w:r>
          </w:p>
        </w:tc>
        <w:tc>
          <w:tcPr>
            <w:tcW w:w="1037" w:type="dxa"/>
            <w:noWrap/>
            <w:hideMark/>
          </w:tcPr>
          <w:p w14:paraId="1B806F28"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0.46453%</w:t>
            </w:r>
          </w:p>
        </w:tc>
        <w:tc>
          <w:tcPr>
            <w:tcW w:w="1162" w:type="dxa"/>
            <w:noWrap/>
            <w:hideMark/>
          </w:tcPr>
          <w:p w14:paraId="293518F1"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-0.02139%</w:t>
            </w:r>
          </w:p>
        </w:tc>
        <w:tc>
          <w:tcPr>
            <w:tcW w:w="1418" w:type="dxa"/>
            <w:noWrap/>
            <w:hideMark/>
          </w:tcPr>
          <w:p w14:paraId="750A8CFF"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0.01200%</w:t>
            </w:r>
          </w:p>
        </w:tc>
        <w:tc>
          <w:tcPr>
            <w:tcW w:w="1134" w:type="dxa"/>
            <w:noWrap/>
            <w:hideMark/>
          </w:tcPr>
          <w:p w14:paraId="30CFFC5D"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0.09900%</w:t>
            </w:r>
          </w:p>
        </w:tc>
        <w:tc>
          <w:tcPr>
            <w:tcW w:w="1226" w:type="dxa"/>
            <w:noWrap/>
            <w:hideMark/>
          </w:tcPr>
          <w:p w14:paraId="36113AA7"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0.77476%</w:t>
            </w:r>
          </w:p>
        </w:tc>
      </w:tr>
      <w:tr w:rsidR="00EF7083" w:rsidRPr="00D05614" w14:paraId="4D0DDF8D" w14:textId="77777777" w:rsidTr="00C954C5">
        <w:trPr>
          <w:trHeight w:val="286"/>
        </w:trPr>
        <w:tc>
          <w:tcPr>
            <w:tcW w:w="626" w:type="dxa"/>
            <w:noWrap/>
            <w:hideMark/>
          </w:tcPr>
          <w:p w14:paraId="0502FEDD"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2021</w:t>
            </w:r>
          </w:p>
        </w:tc>
        <w:tc>
          <w:tcPr>
            <w:tcW w:w="787" w:type="dxa"/>
            <w:noWrap/>
            <w:hideMark/>
          </w:tcPr>
          <w:p w14:paraId="5EF81EBA"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7</w:t>
            </w:r>
          </w:p>
        </w:tc>
        <w:tc>
          <w:tcPr>
            <w:tcW w:w="863" w:type="dxa"/>
            <w:noWrap/>
            <w:hideMark/>
          </w:tcPr>
          <w:p w14:paraId="6FBFB97B"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0.8%</w:t>
            </w:r>
          </w:p>
        </w:tc>
        <w:tc>
          <w:tcPr>
            <w:tcW w:w="1190" w:type="dxa"/>
            <w:noWrap/>
            <w:hideMark/>
          </w:tcPr>
          <w:p w14:paraId="293BA3D0"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0.36179%</w:t>
            </w:r>
          </w:p>
        </w:tc>
        <w:tc>
          <w:tcPr>
            <w:tcW w:w="1037" w:type="dxa"/>
            <w:noWrap/>
            <w:hideMark/>
          </w:tcPr>
          <w:p w14:paraId="70082D6A"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0.24053%</w:t>
            </w:r>
          </w:p>
        </w:tc>
        <w:tc>
          <w:tcPr>
            <w:tcW w:w="1162" w:type="dxa"/>
            <w:noWrap/>
            <w:hideMark/>
          </w:tcPr>
          <w:p w14:paraId="04C326F5"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0.01610%</w:t>
            </w:r>
          </w:p>
        </w:tc>
        <w:tc>
          <w:tcPr>
            <w:tcW w:w="1418" w:type="dxa"/>
            <w:noWrap/>
            <w:hideMark/>
          </w:tcPr>
          <w:p w14:paraId="4DBA4AC3"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-0.00400%</w:t>
            </w:r>
          </w:p>
        </w:tc>
        <w:tc>
          <w:tcPr>
            <w:tcW w:w="1134" w:type="dxa"/>
            <w:noWrap/>
            <w:hideMark/>
          </w:tcPr>
          <w:p w14:paraId="7ED2F8CC"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0.03300%</w:t>
            </w:r>
          </w:p>
        </w:tc>
        <w:tc>
          <w:tcPr>
            <w:tcW w:w="1226" w:type="dxa"/>
            <w:noWrap/>
            <w:hideMark/>
          </w:tcPr>
          <w:p w14:paraId="7E9FA1C4"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0.64742%</w:t>
            </w:r>
          </w:p>
        </w:tc>
      </w:tr>
      <w:tr w:rsidR="00EF7083" w:rsidRPr="00D05614" w14:paraId="6791D039" w14:textId="77777777" w:rsidTr="00C954C5">
        <w:trPr>
          <w:trHeight w:val="286"/>
        </w:trPr>
        <w:tc>
          <w:tcPr>
            <w:tcW w:w="626" w:type="dxa"/>
            <w:noWrap/>
            <w:hideMark/>
          </w:tcPr>
          <w:p w14:paraId="28460E19"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2021</w:t>
            </w:r>
          </w:p>
        </w:tc>
        <w:tc>
          <w:tcPr>
            <w:tcW w:w="787" w:type="dxa"/>
            <w:noWrap/>
            <w:hideMark/>
          </w:tcPr>
          <w:p w14:paraId="2297A1D0"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8</w:t>
            </w:r>
          </w:p>
        </w:tc>
        <w:tc>
          <w:tcPr>
            <w:tcW w:w="863" w:type="dxa"/>
            <w:noWrap/>
            <w:hideMark/>
          </w:tcPr>
          <w:p w14:paraId="2E275C0A"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0.4%</w:t>
            </w:r>
          </w:p>
        </w:tc>
        <w:tc>
          <w:tcPr>
            <w:tcW w:w="1190" w:type="dxa"/>
            <w:noWrap/>
            <w:hideMark/>
          </w:tcPr>
          <w:p w14:paraId="3702BD4E"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0.43077%</w:t>
            </w:r>
          </w:p>
        </w:tc>
        <w:tc>
          <w:tcPr>
            <w:tcW w:w="1037" w:type="dxa"/>
            <w:noWrap/>
            <w:hideMark/>
          </w:tcPr>
          <w:p w14:paraId="7F2532B9"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0.10330%</w:t>
            </w:r>
          </w:p>
        </w:tc>
        <w:tc>
          <w:tcPr>
            <w:tcW w:w="1162" w:type="dxa"/>
            <w:noWrap/>
            <w:hideMark/>
          </w:tcPr>
          <w:p w14:paraId="5117D7CB"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0.00535%</w:t>
            </w:r>
          </w:p>
        </w:tc>
        <w:tc>
          <w:tcPr>
            <w:tcW w:w="1418" w:type="dxa"/>
            <w:noWrap/>
            <w:hideMark/>
          </w:tcPr>
          <w:p w14:paraId="1ABE78DD"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0.01600%</w:t>
            </w:r>
          </w:p>
        </w:tc>
        <w:tc>
          <w:tcPr>
            <w:tcW w:w="1134" w:type="dxa"/>
            <w:noWrap/>
            <w:hideMark/>
          </w:tcPr>
          <w:p w14:paraId="182F8244"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0.26400%</w:t>
            </w:r>
          </w:p>
        </w:tc>
        <w:tc>
          <w:tcPr>
            <w:tcW w:w="1226" w:type="dxa"/>
            <w:noWrap/>
            <w:hideMark/>
          </w:tcPr>
          <w:p w14:paraId="71A52538"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0.81941%</w:t>
            </w:r>
          </w:p>
        </w:tc>
      </w:tr>
      <w:tr w:rsidR="00EF7083" w:rsidRPr="00D05614" w14:paraId="4BA2B63A" w14:textId="77777777" w:rsidTr="00C954C5">
        <w:trPr>
          <w:trHeight w:val="286"/>
        </w:trPr>
        <w:tc>
          <w:tcPr>
            <w:tcW w:w="626" w:type="dxa"/>
            <w:noWrap/>
            <w:hideMark/>
          </w:tcPr>
          <w:p w14:paraId="5FEE16B6"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2021</w:t>
            </w:r>
          </w:p>
        </w:tc>
        <w:tc>
          <w:tcPr>
            <w:tcW w:w="787" w:type="dxa"/>
            <w:noWrap/>
            <w:hideMark/>
          </w:tcPr>
          <w:p w14:paraId="4BEA358F"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9</w:t>
            </w:r>
          </w:p>
        </w:tc>
        <w:tc>
          <w:tcPr>
            <w:tcW w:w="863" w:type="dxa"/>
            <w:noWrap/>
            <w:hideMark/>
          </w:tcPr>
          <w:p w14:paraId="731588EF"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1.2%</w:t>
            </w:r>
          </w:p>
        </w:tc>
        <w:tc>
          <w:tcPr>
            <w:tcW w:w="1190" w:type="dxa"/>
            <w:noWrap/>
            <w:hideMark/>
          </w:tcPr>
          <w:p w14:paraId="1C333ECC"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0.05357%</w:t>
            </w:r>
          </w:p>
        </w:tc>
        <w:tc>
          <w:tcPr>
            <w:tcW w:w="1037" w:type="dxa"/>
            <w:noWrap/>
            <w:hideMark/>
          </w:tcPr>
          <w:p w14:paraId="74FCE941"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0.13580%</w:t>
            </w:r>
          </w:p>
        </w:tc>
        <w:tc>
          <w:tcPr>
            <w:tcW w:w="1162" w:type="dxa"/>
            <w:noWrap/>
            <w:hideMark/>
          </w:tcPr>
          <w:p w14:paraId="258D57F4"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0.00000%</w:t>
            </w:r>
          </w:p>
        </w:tc>
        <w:tc>
          <w:tcPr>
            <w:tcW w:w="1418" w:type="dxa"/>
            <w:noWrap/>
            <w:hideMark/>
          </w:tcPr>
          <w:p w14:paraId="3A73F080"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0.02000%</w:t>
            </w:r>
          </w:p>
        </w:tc>
        <w:tc>
          <w:tcPr>
            <w:tcW w:w="1134" w:type="dxa"/>
            <w:noWrap/>
            <w:hideMark/>
          </w:tcPr>
          <w:p w14:paraId="0CDE3592"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0.13200%</w:t>
            </w:r>
          </w:p>
        </w:tc>
        <w:tc>
          <w:tcPr>
            <w:tcW w:w="1226" w:type="dxa"/>
            <w:noWrap/>
            <w:hideMark/>
          </w:tcPr>
          <w:p w14:paraId="43B9D810"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0.34137%</w:t>
            </w:r>
          </w:p>
        </w:tc>
      </w:tr>
      <w:tr w:rsidR="00EF7083" w:rsidRPr="00D05614" w14:paraId="5521485F" w14:textId="77777777" w:rsidTr="00C954C5">
        <w:trPr>
          <w:trHeight w:val="286"/>
        </w:trPr>
        <w:tc>
          <w:tcPr>
            <w:tcW w:w="626" w:type="dxa"/>
            <w:noWrap/>
            <w:hideMark/>
          </w:tcPr>
          <w:p w14:paraId="3C35B5CC"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2021</w:t>
            </w:r>
          </w:p>
        </w:tc>
        <w:tc>
          <w:tcPr>
            <w:tcW w:w="787" w:type="dxa"/>
            <w:noWrap/>
            <w:hideMark/>
          </w:tcPr>
          <w:p w14:paraId="738C2E12"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10</w:t>
            </w:r>
          </w:p>
        </w:tc>
        <w:tc>
          <w:tcPr>
            <w:tcW w:w="863" w:type="dxa"/>
            <w:noWrap/>
            <w:hideMark/>
          </w:tcPr>
          <w:p w14:paraId="63D05602"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1.3%</w:t>
            </w:r>
          </w:p>
        </w:tc>
        <w:tc>
          <w:tcPr>
            <w:tcW w:w="1190" w:type="dxa"/>
            <w:noWrap/>
            <w:hideMark/>
          </w:tcPr>
          <w:p w14:paraId="4A80731A"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0.42567%</w:t>
            </w:r>
          </w:p>
        </w:tc>
        <w:tc>
          <w:tcPr>
            <w:tcW w:w="1037" w:type="dxa"/>
            <w:noWrap/>
            <w:hideMark/>
          </w:tcPr>
          <w:p w14:paraId="3CCC8742"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0.41541%</w:t>
            </w:r>
          </w:p>
        </w:tc>
        <w:tc>
          <w:tcPr>
            <w:tcW w:w="1162" w:type="dxa"/>
            <w:noWrap/>
            <w:hideMark/>
          </w:tcPr>
          <w:p w14:paraId="0D6DCE83"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0.04278%</w:t>
            </w:r>
          </w:p>
        </w:tc>
        <w:tc>
          <w:tcPr>
            <w:tcW w:w="1418" w:type="dxa"/>
            <w:noWrap/>
            <w:hideMark/>
          </w:tcPr>
          <w:p w14:paraId="489841C5"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0.03200%</w:t>
            </w:r>
          </w:p>
        </w:tc>
        <w:tc>
          <w:tcPr>
            <w:tcW w:w="1134" w:type="dxa"/>
            <w:noWrap/>
            <w:hideMark/>
          </w:tcPr>
          <w:p w14:paraId="141FF5AA"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0.39600%</w:t>
            </w:r>
          </w:p>
        </w:tc>
        <w:tc>
          <w:tcPr>
            <w:tcW w:w="1226" w:type="dxa"/>
            <w:noWrap/>
            <w:hideMark/>
          </w:tcPr>
          <w:p w14:paraId="29203F18"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1.31186%</w:t>
            </w:r>
          </w:p>
        </w:tc>
      </w:tr>
      <w:tr w:rsidR="00EF7083" w:rsidRPr="00D05614" w14:paraId="49309B55" w14:textId="77777777" w:rsidTr="00C954C5">
        <w:trPr>
          <w:trHeight w:val="286"/>
        </w:trPr>
        <w:tc>
          <w:tcPr>
            <w:tcW w:w="626" w:type="dxa"/>
            <w:noWrap/>
            <w:hideMark/>
          </w:tcPr>
          <w:p w14:paraId="78E23761"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2021</w:t>
            </w:r>
          </w:p>
        </w:tc>
        <w:tc>
          <w:tcPr>
            <w:tcW w:w="787" w:type="dxa"/>
            <w:noWrap/>
            <w:hideMark/>
          </w:tcPr>
          <w:p w14:paraId="19738066"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11</w:t>
            </w:r>
          </w:p>
        </w:tc>
        <w:tc>
          <w:tcPr>
            <w:tcW w:w="863" w:type="dxa"/>
            <w:noWrap/>
            <w:hideMark/>
          </w:tcPr>
          <w:p w14:paraId="7F117BC7"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0.5%</w:t>
            </w:r>
          </w:p>
        </w:tc>
        <w:tc>
          <w:tcPr>
            <w:tcW w:w="1190" w:type="dxa"/>
            <w:noWrap/>
            <w:hideMark/>
          </w:tcPr>
          <w:p w14:paraId="5CC6805F"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-0.01792%</w:t>
            </w:r>
          </w:p>
        </w:tc>
        <w:tc>
          <w:tcPr>
            <w:tcW w:w="1037" w:type="dxa"/>
            <w:noWrap/>
            <w:hideMark/>
          </w:tcPr>
          <w:p w14:paraId="463798C0"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0.24567%</w:t>
            </w:r>
          </w:p>
        </w:tc>
        <w:tc>
          <w:tcPr>
            <w:tcW w:w="1162" w:type="dxa"/>
            <w:noWrap/>
            <w:hideMark/>
          </w:tcPr>
          <w:p w14:paraId="5DEBC83A"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0.02124%</w:t>
            </w:r>
          </w:p>
        </w:tc>
        <w:tc>
          <w:tcPr>
            <w:tcW w:w="1418" w:type="dxa"/>
            <w:noWrap/>
            <w:hideMark/>
          </w:tcPr>
          <w:p w14:paraId="396D480A"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0.01600%</w:t>
            </w:r>
          </w:p>
        </w:tc>
        <w:tc>
          <w:tcPr>
            <w:tcW w:w="1134" w:type="dxa"/>
            <w:noWrap/>
            <w:hideMark/>
          </w:tcPr>
          <w:p w14:paraId="307181D9"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0.42900%</w:t>
            </w:r>
          </w:p>
        </w:tc>
        <w:tc>
          <w:tcPr>
            <w:tcW w:w="1226" w:type="dxa"/>
            <w:noWrap/>
            <w:hideMark/>
          </w:tcPr>
          <w:p w14:paraId="0D8F2FFC"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0.69399%</w:t>
            </w:r>
          </w:p>
        </w:tc>
      </w:tr>
      <w:tr w:rsidR="00EF7083" w:rsidRPr="00D05614" w14:paraId="1174E9B8" w14:textId="77777777" w:rsidTr="00C954C5">
        <w:trPr>
          <w:trHeight w:val="286"/>
        </w:trPr>
        <w:tc>
          <w:tcPr>
            <w:tcW w:w="626" w:type="dxa"/>
            <w:noWrap/>
            <w:hideMark/>
          </w:tcPr>
          <w:p w14:paraId="68C3DBFA"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2021</w:t>
            </w:r>
          </w:p>
        </w:tc>
        <w:tc>
          <w:tcPr>
            <w:tcW w:w="787" w:type="dxa"/>
            <w:noWrap/>
            <w:hideMark/>
          </w:tcPr>
          <w:p w14:paraId="3CDAE654"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12</w:t>
            </w:r>
          </w:p>
        </w:tc>
        <w:tc>
          <w:tcPr>
            <w:tcW w:w="863" w:type="dxa"/>
            <w:noWrap/>
            <w:hideMark/>
          </w:tcPr>
          <w:p w14:paraId="34C2FC8F"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0.8%</w:t>
            </w:r>
          </w:p>
        </w:tc>
        <w:tc>
          <w:tcPr>
            <w:tcW w:w="1190" w:type="dxa"/>
            <w:noWrap/>
            <w:hideMark/>
          </w:tcPr>
          <w:p w14:paraId="375FBDD6"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0.49404%</w:t>
            </w:r>
          </w:p>
        </w:tc>
        <w:tc>
          <w:tcPr>
            <w:tcW w:w="1037" w:type="dxa"/>
            <w:noWrap/>
            <w:hideMark/>
          </w:tcPr>
          <w:p w14:paraId="6F0283F2"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0.15363%</w:t>
            </w:r>
          </w:p>
        </w:tc>
        <w:tc>
          <w:tcPr>
            <w:tcW w:w="1162" w:type="dxa"/>
            <w:noWrap/>
            <w:hideMark/>
          </w:tcPr>
          <w:p w14:paraId="4E8CC683"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-0.01587%</w:t>
            </w:r>
          </w:p>
        </w:tc>
        <w:tc>
          <w:tcPr>
            <w:tcW w:w="1418" w:type="dxa"/>
            <w:noWrap/>
            <w:hideMark/>
          </w:tcPr>
          <w:p w14:paraId="09A86323"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0.01600%</w:t>
            </w:r>
          </w:p>
        </w:tc>
        <w:tc>
          <w:tcPr>
            <w:tcW w:w="1134" w:type="dxa"/>
            <w:noWrap/>
            <w:hideMark/>
          </w:tcPr>
          <w:p w14:paraId="1BEFFD80"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0.16500%</w:t>
            </w:r>
          </w:p>
        </w:tc>
        <w:tc>
          <w:tcPr>
            <w:tcW w:w="1226" w:type="dxa"/>
            <w:noWrap/>
            <w:hideMark/>
          </w:tcPr>
          <w:p w14:paraId="60DCCB6C"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0.81279%</w:t>
            </w:r>
          </w:p>
        </w:tc>
      </w:tr>
      <w:tr w:rsidR="00EF7083" w:rsidRPr="00D05614" w14:paraId="00CA7F64" w14:textId="77777777" w:rsidTr="00C954C5">
        <w:trPr>
          <w:trHeight w:val="286"/>
        </w:trPr>
        <w:tc>
          <w:tcPr>
            <w:tcW w:w="626" w:type="dxa"/>
            <w:noWrap/>
            <w:hideMark/>
          </w:tcPr>
          <w:p w14:paraId="4D36F882"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2022</w:t>
            </w:r>
          </w:p>
        </w:tc>
        <w:tc>
          <w:tcPr>
            <w:tcW w:w="787" w:type="dxa"/>
            <w:noWrap/>
            <w:hideMark/>
          </w:tcPr>
          <w:p w14:paraId="50E863B3"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eastAsia="Times New Roman" w:hAnsi="Calibri" w:cs="Calibri"/>
                <w:color w:val="000000"/>
                <w:sz w:val="20"/>
                <w:szCs w:val="20"/>
              </w:rPr>
              <w:t>1</w:t>
            </w:r>
          </w:p>
        </w:tc>
        <w:tc>
          <w:tcPr>
            <w:tcW w:w="863" w:type="dxa"/>
            <w:noWrap/>
            <w:hideMark/>
          </w:tcPr>
          <w:p w14:paraId="7E45A703"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1.2%</w:t>
            </w:r>
          </w:p>
        </w:tc>
        <w:tc>
          <w:tcPr>
            <w:tcW w:w="1190" w:type="dxa"/>
            <w:noWrap/>
            <w:hideMark/>
          </w:tcPr>
          <w:p w14:paraId="512507E3"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-0.35070%</w:t>
            </w:r>
          </w:p>
        </w:tc>
        <w:tc>
          <w:tcPr>
            <w:tcW w:w="1037" w:type="dxa"/>
            <w:noWrap/>
            <w:hideMark/>
          </w:tcPr>
          <w:p w14:paraId="14AC7B97"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0.40000%</w:t>
            </w:r>
          </w:p>
        </w:tc>
        <w:tc>
          <w:tcPr>
            <w:tcW w:w="1162" w:type="dxa"/>
            <w:noWrap/>
            <w:hideMark/>
          </w:tcPr>
          <w:p w14:paraId="380E0774"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0.01200%</w:t>
            </w:r>
          </w:p>
        </w:tc>
        <w:tc>
          <w:tcPr>
            <w:tcW w:w="1418" w:type="dxa"/>
            <w:noWrap/>
            <w:hideMark/>
          </w:tcPr>
          <w:p w14:paraId="0D40BE71"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0.01200%</w:t>
            </w:r>
          </w:p>
        </w:tc>
        <w:tc>
          <w:tcPr>
            <w:tcW w:w="1134" w:type="dxa"/>
            <w:noWrap/>
            <w:hideMark/>
          </w:tcPr>
          <w:p w14:paraId="07D6AB9A"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0.26400%</w:t>
            </w:r>
          </w:p>
        </w:tc>
        <w:tc>
          <w:tcPr>
            <w:tcW w:w="1226" w:type="dxa"/>
            <w:noWrap/>
            <w:hideMark/>
          </w:tcPr>
          <w:p w14:paraId="5181EF69" w14:textId="77777777" w:rsidR="00EF7083" w:rsidRPr="008F684A" w:rsidRDefault="00EF7083" w:rsidP="006866F6">
            <w:pPr>
              <w:jc w:val="right"/>
              <w:rPr>
                <w:rFonts w:ascii="Calibri" w:eastAsia="Times New Roman" w:hAnsi="Calibri" w:cs="Calibri"/>
                <w:color w:val="000000"/>
                <w:sz w:val="20"/>
                <w:szCs w:val="20"/>
              </w:rPr>
            </w:pPr>
            <w:r w:rsidRPr="008F684A">
              <w:rPr>
                <w:rFonts w:ascii="Calibri" w:hAnsi="Calibri" w:cs="Calibri"/>
                <w:color w:val="000000"/>
                <w:sz w:val="20"/>
                <w:szCs w:val="20"/>
              </w:rPr>
              <w:t>0.33730%</w:t>
            </w:r>
          </w:p>
        </w:tc>
      </w:tr>
      <w:tr w:rsidR="00876B20" w:rsidRPr="00D05614" w14:paraId="48790BDB" w14:textId="77777777" w:rsidTr="00C954C5">
        <w:trPr>
          <w:trHeight w:val="286"/>
        </w:trPr>
        <w:tc>
          <w:tcPr>
            <w:tcW w:w="626" w:type="dxa"/>
            <w:noWrap/>
          </w:tcPr>
          <w:p w14:paraId="57C9A0E2" w14:textId="46A175EA" w:rsidR="00876B20" w:rsidRPr="008F684A" w:rsidRDefault="00876B20" w:rsidP="006866F6">
            <w:pPr>
              <w:jc w:val="right"/>
              <w:rPr>
                <w:rFonts w:ascii="Calibri" w:eastAsia="Times New Roman" w:hAnsi="Calibri" w:cs="Calibri"/>
                <w:color w:val="000000"/>
                <w:sz w:val="20"/>
                <w:szCs w:val="20"/>
              </w:rPr>
            </w:pPr>
            <w:r>
              <w:rPr>
                <w:rFonts w:ascii="Calibri" w:eastAsia="Times New Roman" w:hAnsi="Calibri" w:cs="Calibri"/>
                <w:color w:val="000000"/>
                <w:sz w:val="20"/>
                <w:szCs w:val="20"/>
              </w:rPr>
              <w:t>2022</w:t>
            </w:r>
          </w:p>
        </w:tc>
        <w:tc>
          <w:tcPr>
            <w:tcW w:w="787" w:type="dxa"/>
            <w:noWrap/>
          </w:tcPr>
          <w:p w14:paraId="6D2DE3A1" w14:textId="3B3576B6" w:rsidR="00876B20" w:rsidRPr="008F684A" w:rsidRDefault="00876B20" w:rsidP="006866F6">
            <w:pPr>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863" w:type="dxa"/>
            <w:noWrap/>
          </w:tcPr>
          <w:p w14:paraId="14828184" w14:textId="760FA66F" w:rsidR="00876B20" w:rsidRPr="008F684A" w:rsidRDefault="00876B20" w:rsidP="006866F6">
            <w:pPr>
              <w:jc w:val="right"/>
              <w:rPr>
                <w:rFonts w:ascii="Calibri" w:hAnsi="Calibri" w:cs="Calibri"/>
                <w:color w:val="000000"/>
                <w:sz w:val="20"/>
                <w:szCs w:val="20"/>
              </w:rPr>
            </w:pPr>
            <w:r>
              <w:rPr>
                <w:rFonts w:ascii="Calibri" w:hAnsi="Calibri" w:cs="Calibri"/>
                <w:color w:val="000000"/>
                <w:sz w:val="20"/>
                <w:szCs w:val="20"/>
              </w:rPr>
              <w:t>0.3%</w:t>
            </w:r>
          </w:p>
        </w:tc>
        <w:tc>
          <w:tcPr>
            <w:tcW w:w="1190" w:type="dxa"/>
            <w:noWrap/>
          </w:tcPr>
          <w:p w14:paraId="6DAF5953" w14:textId="0C80910D" w:rsidR="00876B20" w:rsidRPr="008F684A" w:rsidRDefault="00876B20" w:rsidP="006866F6">
            <w:pPr>
              <w:jc w:val="right"/>
              <w:rPr>
                <w:rFonts w:ascii="Calibri" w:hAnsi="Calibri" w:cs="Calibri"/>
                <w:color w:val="000000"/>
                <w:sz w:val="20"/>
                <w:szCs w:val="20"/>
              </w:rPr>
            </w:pPr>
            <w:r>
              <w:rPr>
                <w:rFonts w:ascii="Calibri" w:hAnsi="Calibri" w:cs="Calibri"/>
                <w:color w:val="000000"/>
                <w:sz w:val="20"/>
                <w:szCs w:val="20"/>
              </w:rPr>
              <w:t>-0.198%</w:t>
            </w:r>
          </w:p>
        </w:tc>
        <w:tc>
          <w:tcPr>
            <w:tcW w:w="1037" w:type="dxa"/>
            <w:noWrap/>
          </w:tcPr>
          <w:p w14:paraId="7B02C414" w14:textId="05D4E3B7" w:rsidR="00876B20" w:rsidRPr="008F684A" w:rsidRDefault="00876B20" w:rsidP="006866F6">
            <w:pPr>
              <w:jc w:val="right"/>
              <w:rPr>
                <w:rFonts w:ascii="Calibri" w:hAnsi="Calibri" w:cs="Calibri"/>
                <w:color w:val="000000"/>
                <w:sz w:val="20"/>
                <w:szCs w:val="20"/>
              </w:rPr>
            </w:pPr>
            <w:r>
              <w:rPr>
                <w:rFonts w:ascii="Calibri" w:hAnsi="Calibri" w:cs="Calibri"/>
                <w:color w:val="000000"/>
                <w:sz w:val="20"/>
                <w:szCs w:val="20"/>
              </w:rPr>
              <w:t>0.450%</w:t>
            </w:r>
          </w:p>
        </w:tc>
        <w:tc>
          <w:tcPr>
            <w:tcW w:w="1162" w:type="dxa"/>
            <w:noWrap/>
          </w:tcPr>
          <w:p w14:paraId="34292814" w14:textId="2EF8337F" w:rsidR="00876B20" w:rsidRPr="008F684A" w:rsidRDefault="00876B20" w:rsidP="006866F6">
            <w:pPr>
              <w:jc w:val="right"/>
              <w:rPr>
                <w:rFonts w:ascii="Calibri" w:hAnsi="Calibri" w:cs="Calibri"/>
                <w:color w:val="000000"/>
                <w:sz w:val="20"/>
                <w:szCs w:val="20"/>
              </w:rPr>
            </w:pPr>
            <w:r>
              <w:rPr>
                <w:rFonts w:ascii="Calibri" w:hAnsi="Calibri" w:cs="Calibri"/>
                <w:color w:val="000000"/>
                <w:sz w:val="20"/>
                <w:szCs w:val="20"/>
              </w:rPr>
              <w:t>0.036%</w:t>
            </w:r>
          </w:p>
        </w:tc>
        <w:tc>
          <w:tcPr>
            <w:tcW w:w="1418" w:type="dxa"/>
            <w:noWrap/>
          </w:tcPr>
          <w:p w14:paraId="29F36800" w14:textId="2B17F454" w:rsidR="00876B20" w:rsidRPr="008F684A" w:rsidRDefault="00876B20" w:rsidP="006866F6">
            <w:pPr>
              <w:jc w:val="right"/>
              <w:rPr>
                <w:rFonts w:ascii="Calibri" w:hAnsi="Calibri" w:cs="Calibri"/>
                <w:color w:val="000000"/>
                <w:sz w:val="20"/>
                <w:szCs w:val="20"/>
              </w:rPr>
            </w:pPr>
            <w:r>
              <w:rPr>
                <w:rFonts w:ascii="Calibri" w:hAnsi="Calibri" w:cs="Calibri"/>
                <w:color w:val="000000"/>
                <w:sz w:val="20"/>
                <w:szCs w:val="20"/>
              </w:rPr>
              <w:t>0.036%</w:t>
            </w:r>
          </w:p>
        </w:tc>
        <w:tc>
          <w:tcPr>
            <w:tcW w:w="1134" w:type="dxa"/>
            <w:noWrap/>
          </w:tcPr>
          <w:p w14:paraId="79E98E94" w14:textId="6A739879" w:rsidR="00876B20" w:rsidRPr="008F684A" w:rsidRDefault="00876B20" w:rsidP="006866F6">
            <w:pPr>
              <w:jc w:val="right"/>
              <w:rPr>
                <w:rFonts w:ascii="Calibri" w:hAnsi="Calibri" w:cs="Calibri"/>
                <w:color w:val="000000"/>
                <w:sz w:val="20"/>
                <w:szCs w:val="20"/>
              </w:rPr>
            </w:pPr>
            <w:r>
              <w:rPr>
                <w:rFonts w:ascii="Calibri" w:hAnsi="Calibri" w:cs="Calibri"/>
                <w:color w:val="000000"/>
                <w:sz w:val="20"/>
                <w:szCs w:val="20"/>
              </w:rPr>
              <w:t>0.396%</w:t>
            </w:r>
          </w:p>
        </w:tc>
        <w:tc>
          <w:tcPr>
            <w:tcW w:w="1226" w:type="dxa"/>
            <w:noWrap/>
          </w:tcPr>
          <w:p w14:paraId="100FC804" w14:textId="64290A2B" w:rsidR="00876B20" w:rsidRPr="008F684A" w:rsidRDefault="00876B20" w:rsidP="006866F6">
            <w:pPr>
              <w:jc w:val="right"/>
              <w:rPr>
                <w:rFonts w:ascii="Calibri" w:hAnsi="Calibri" w:cs="Calibri"/>
                <w:color w:val="000000"/>
                <w:sz w:val="20"/>
                <w:szCs w:val="20"/>
              </w:rPr>
            </w:pPr>
            <w:r>
              <w:rPr>
                <w:rFonts w:ascii="Calibri" w:hAnsi="Calibri" w:cs="Calibri"/>
                <w:color w:val="000000"/>
                <w:sz w:val="20"/>
                <w:szCs w:val="20"/>
              </w:rPr>
              <w:t>0.72%</w:t>
            </w:r>
          </w:p>
        </w:tc>
      </w:tr>
    </w:tbl>
    <w:p w14:paraId="7385D68C" w14:textId="77777777" w:rsidR="00EF7083" w:rsidRDefault="00EF7083" w:rsidP="00EF7083">
      <w:pPr>
        <w:tabs>
          <w:tab w:val="left" w:pos="5479"/>
        </w:tabs>
        <w:jc w:val="both"/>
        <w:rPr>
          <w:sz w:val="24"/>
          <w:szCs w:val="24"/>
          <w:lang w:val="es-CL"/>
        </w:rPr>
      </w:pPr>
    </w:p>
    <w:p w14:paraId="11599B4B" w14:textId="77777777" w:rsidR="0046344B" w:rsidRDefault="0046344B" w:rsidP="00A53F45">
      <w:pPr>
        <w:jc w:val="both"/>
        <w:rPr>
          <w:rFonts w:eastAsiaTheme="minorEastAsia"/>
          <w:i/>
          <w:iCs/>
          <w:sz w:val="24"/>
          <w:szCs w:val="24"/>
          <w:lang w:val="es-CL"/>
        </w:rPr>
      </w:pPr>
    </w:p>
    <w:p w14:paraId="6DD3FBE6" w14:textId="14A3DD04" w:rsidR="0046344B" w:rsidRPr="003B6C66" w:rsidRDefault="004170ED" w:rsidP="00A53F45">
      <w:pPr>
        <w:jc w:val="both"/>
        <w:rPr>
          <w:rFonts w:eastAsiaTheme="minorEastAsia"/>
          <w:i/>
          <w:iCs/>
          <w:sz w:val="24"/>
          <w:szCs w:val="24"/>
        </w:rPr>
      </w:pPr>
      <w:r w:rsidRPr="003B6C66">
        <w:rPr>
          <w:rFonts w:eastAsiaTheme="minorEastAsia"/>
          <w:i/>
          <w:iCs/>
          <w:sz w:val="24"/>
          <w:szCs w:val="24"/>
        </w:rPr>
        <w:lastRenderedPageBreak/>
        <w:t xml:space="preserve">Simulations. </w:t>
      </w:r>
      <w:r w:rsidRPr="003B6C66">
        <w:rPr>
          <w:rFonts w:eastAsiaTheme="minorEastAsia"/>
          <w:sz w:val="24"/>
          <w:szCs w:val="24"/>
        </w:rPr>
        <w:t>Table A2 presents a simulation of monthly inflation for the year 2021 and for the months of January and February 2022, which are outside the sample. As can be seen, the simulations carried out based on the estimated coefficients replicate the inflation rates reasonably well in most of the months.</w:t>
      </w:r>
    </w:p>
    <w:p w14:paraId="2115817E" w14:textId="62CA10BA" w:rsidR="00A53F45" w:rsidRPr="003B6C66" w:rsidRDefault="00C90B07" w:rsidP="00BB786B">
      <w:pPr>
        <w:jc w:val="both"/>
        <w:rPr>
          <w:rFonts w:eastAsiaTheme="minorEastAsia"/>
          <w:sz w:val="24"/>
          <w:szCs w:val="24"/>
        </w:rPr>
      </w:pPr>
      <w:r w:rsidRPr="003B6C66">
        <w:rPr>
          <w:rFonts w:eastAsiaTheme="minorEastAsia"/>
          <w:i/>
          <w:iCs/>
          <w:sz w:val="24"/>
          <w:szCs w:val="24"/>
        </w:rPr>
        <w:t>Robustness tests</w:t>
      </w:r>
      <w:r w:rsidRPr="003B6C66">
        <w:rPr>
          <w:rFonts w:eastAsiaTheme="minorEastAsia"/>
          <w:sz w:val="24"/>
          <w:szCs w:val="24"/>
        </w:rPr>
        <w:t xml:space="preserve">. </w:t>
      </w:r>
      <w:r w:rsidR="00ED38EE" w:rsidRPr="003B6C66">
        <w:rPr>
          <w:rFonts w:eastAsiaTheme="minorEastAsia"/>
          <w:sz w:val="24"/>
          <w:szCs w:val="24"/>
        </w:rPr>
        <w:t>Several</w:t>
      </w:r>
      <w:r w:rsidRPr="003B6C66">
        <w:rPr>
          <w:rFonts w:eastAsiaTheme="minorEastAsia"/>
          <w:sz w:val="24"/>
          <w:szCs w:val="24"/>
        </w:rPr>
        <w:t xml:space="preserve"> model robustness tests were implemented. First, the monthly index of economic activity</w:t>
      </w:r>
      <w:r w:rsidR="00AC126F" w:rsidRPr="003B6C66">
        <w:rPr>
          <w:rFonts w:eastAsiaTheme="minorEastAsia"/>
          <w:sz w:val="24"/>
          <w:szCs w:val="24"/>
        </w:rPr>
        <w:t xml:space="preserve"> (IMACEC)</w:t>
      </w:r>
      <w:r w:rsidRPr="003B6C66">
        <w:rPr>
          <w:rFonts w:eastAsiaTheme="minorEastAsia"/>
          <w:sz w:val="24"/>
          <w:szCs w:val="24"/>
        </w:rPr>
        <w:t xml:space="preserve"> was considered as an additional control variable. Table A3 shows these estimators. As can be seen, the fundamental results: that domestic inflation is explained primarily by foreign inflation and the exchange rate are maintained. The role of demand factors in both normal and exceptional periods is of minor importance.</w:t>
      </w:r>
    </w:p>
    <w:p w14:paraId="3C85F91F" w14:textId="77777777" w:rsidR="008F59C1" w:rsidRPr="003B6C66" w:rsidRDefault="008F59C1" w:rsidP="008F59C1">
      <w:pPr>
        <w:pStyle w:val="Prrafodelista"/>
        <w:ind w:left="1080"/>
        <w:rPr>
          <w:rFonts w:eastAsiaTheme="minorEastAsia"/>
          <w:b/>
          <w:bCs/>
          <w:sz w:val="24"/>
          <w:szCs w:val="24"/>
          <w:u w:val="single"/>
        </w:rPr>
      </w:pPr>
    </w:p>
    <w:p w14:paraId="1D83CB42" w14:textId="7D69C02E" w:rsidR="00547D4C" w:rsidRPr="003B6C66" w:rsidRDefault="008F59C1" w:rsidP="008F59C1">
      <w:pPr>
        <w:pStyle w:val="Prrafodelista"/>
        <w:numPr>
          <w:ilvl w:val="0"/>
          <w:numId w:val="9"/>
        </w:numPr>
        <w:jc w:val="center"/>
        <w:rPr>
          <w:rFonts w:eastAsiaTheme="minorEastAsia"/>
          <w:b/>
          <w:bCs/>
          <w:sz w:val="24"/>
          <w:szCs w:val="24"/>
          <w:u w:val="single"/>
        </w:rPr>
      </w:pPr>
      <w:r w:rsidRPr="003B6C66">
        <w:rPr>
          <w:rFonts w:eastAsiaTheme="minorEastAsia"/>
          <w:b/>
          <w:bCs/>
          <w:sz w:val="24"/>
          <w:szCs w:val="24"/>
          <w:u w:val="single"/>
        </w:rPr>
        <w:t>Incorporating IMACEC as a proxy for demand effects</w:t>
      </w:r>
    </w:p>
    <w:p w14:paraId="5CFE95DA" w14:textId="77777777" w:rsidR="00E3292E" w:rsidRPr="003B6C66" w:rsidRDefault="00E3292E" w:rsidP="00E3292E">
      <w:pPr>
        <w:pStyle w:val="Prrafodelista"/>
        <w:ind w:left="1080"/>
        <w:rPr>
          <w:rFonts w:eastAsiaTheme="minorEastAsia"/>
          <w:b/>
          <w:bCs/>
          <w:sz w:val="24"/>
          <w:szCs w:val="24"/>
          <w:u w:val="single"/>
        </w:rPr>
      </w:pPr>
    </w:p>
    <w:p w14:paraId="780ED9A0" w14:textId="44FA9B5F" w:rsidR="003C2F35" w:rsidRPr="003B6C66" w:rsidRDefault="003C2F35" w:rsidP="003C2F35">
      <w:pPr>
        <w:jc w:val="both"/>
        <w:rPr>
          <w:rFonts w:eastAsiaTheme="minorEastAsia"/>
          <w:sz w:val="24"/>
          <w:szCs w:val="24"/>
        </w:rPr>
      </w:pPr>
      <w:r w:rsidRPr="003B6C66">
        <w:rPr>
          <w:rFonts w:eastAsiaTheme="minorEastAsia"/>
          <w:b/>
          <w:bCs/>
          <w:sz w:val="24"/>
          <w:szCs w:val="24"/>
        </w:rPr>
        <w:t>Tabl</w:t>
      </w:r>
      <w:r w:rsidR="000B2772" w:rsidRPr="003B6C66">
        <w:rPr>
          <w:rFonts w:eastAsiaTheme="minorEastAsia"/>
          <w:b/>
          <w:bCs/>
          <w:sz w:val="24"/>
          <w:szCs w:val="24"/>
        </w:rPr>
        <w:t>e</w:t>
      </w:r>
      <w:r w:rsidRPr="003B6C66">
        <w:rPr>
          <w:rFonts w:eastAsiaTheme="minorEastAsia"/>
          <w:b/>
          <w:bCs/>
          <w:sz w:val="24"/>
          <w:szCs w:val="24"/>
        </w:rPr>
        <w:t xml:space="preserve"> </w:t>
      </w:r>
      <w:r w:rsidR="00EF7083" w:rsidRPr="003B6C66">
        <w:rPr>
          <w:rFonts w:eastAsiaTheme="minorEastAsia"/>
          <w:b/>
          <w:bCs/>
          <w:sz w:val="24"/>
          <w:szCs w:val="24"/>
        </w:rPr>
        <w:t>A3</w:t>
      </w:r>
      <w:r w:rsidRPr="003B6C66">
        <w:rPr>
          <w:rFonts w:eastAsiaTheme="minorEastAsia"/>
          <w:b/>
          <w:bCs/>
          <w:sz w:val="24"/>
          <w:szCs w:val="24"/>
        </w:rPr>
        <w:t xml:space="preserve">. </w:t>
      </w:r>
      <w:r w:rsidR="000B2772" w:rsidRPr="003B6C66">
        <w:rPr>
          <w:rFonts w:eastAsiaTheme="minorEastAsia"/>
          <w:b/>
          <w:bCs/>
          <w:sz w:val="24"/>
          <w:szCs w:val="24"/>
        </w:rPr>
        <w:t xml:space="preserve">Second stage of the estimation by TSLS adding the variation of the IMACEC </w:t>
      </w:r>
    </w:p>
    <w:tbl>
      <w:tblPr>
        <w:tblStyle w:val="Tablanormal1"/>
        <w:tblW w:w="4950" w:type="dxa"/>
        <w:tblLook w:val="04A0" w:firstRow="1" w:lastRow="0" w:firstColumn="1" w:lastColumn="0" w:noHBand="0" w:noVBand="1"/>
      </w:tblPr>
      <w:tblGrid>
        <w:gridCol w:w="3309"/>
        <w:gridCol w:w="1641"/>
      </w:tblGrid>
      <w:tr w:rsidR="00547D4C" w:rsidRPr="0071591B" w14:paraId="4987FAED" w14:textId="77777777" w:rsidTr="00522401">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309" w:type="dxa"/>
            <w:shd w:val="clear" w:color="auto" w:fill="D9E2F3" w:themeFill="accent1" w:themeFillTint="33"/>
            <w:noWrap/>
            <w:hideMark/>
          </w:tcPr>
          <w:p w14:paraId="3E946998" w14:textId="111AD6FF" w:rsidR="00547D4C" w:rsidRPr="0093372C" w:rsidRDefault="00547D4C" w:rsidP="00545577">
            <w:pPr>
              <w:rPr>
                <w:rFonts w:ascii="Calibri" w:eastAsia="Times New Roman" w:hAnsi="Calibri" w:cs="Calibri"/>
                <w:color w:val="000000"/>
              </w:rPr>
            </w:pPr>
            <w:r w:rsidRPr="0093372C">
              <w:rPr>
                <w:rFonts w:ascii="Calibri" w:eastAsia="Times New Roman" w:hAnsi="Calibri" w:cs="Calibri"/>
                <w:color w:val="000000"/>
              </w:rPr>
              <w:t>N</w:t>
            </w:r>
            <w:r w:rsidR="00E01699">
              <w:rPr>
                <w:rFonts w:ascii="Calibri" w:eastAsia="Times New Roman" w:hAnsi="Calibri" w:cs="Calibri"/>
                <w:color w:val="000000"/>
              </w:rPr>
              <w:t>umber of observations</w:t>
            </w:r>
          </w:p>
        </w:tc>
        <w:tc>
          <w:tcPr>
            <w:tcW w:w="1641" w:type="dxa"/>
            <w:shd w:val="clear" w:color="auto" w:fill="FFFFFF" w:themeFill="background1"/>
            <w:noWrap/>
            <w:hideMark/>
          </w:tcPr>
          <w:p w14:paraId="5EA3B5F2" w14:textId="77777777" w:rsidR="00547D4C" w:rsidRPr="0093372C" w:rsidRDefault="00547D4C" w:rsidP="0054557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sidRPr="0093372C">
              <w:rPr>
                <w:rFonts w:ascii="Calibri" w:eastAsia="Times New Roman" w:hAnsi="Calibri" w:cs="Calibri"/>
                <w:b w:val="0"/>
                <w:bCs w:val="0"/>
                <w:color w:val="000000"/>
              </w:rPr>
              <w:t>261</w:t>
            </w:r>
          </w:p>
        </w:tc>
      </w:tr>
      <w:tr w:rsidR="00547D4C" w:rsidRPr="0071591B" w14:paraId="6904299C" w14:textId="77777777" w:rsidTr="0052240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309" w:type="dxa"/>
            <w:shd w:val="clear" w:color="auto" w:fill="D9E2F3" w:themeFill="accent1" w:themeFillTint="33"/>
            <w:noWrap/>
            <w:hideMark/>
          </w:tcPr>
          <w:p w14:paraId="00B2332A" w14:textId="77777777" w:rsidR="00547D4C" w:rsidRPr="0093372C" w:rsidRDefault="00547D4C" w:rsidP="00545577">
            <w:pPr>
              <w:rPr>
                <w:rFonts w:ascii="Calibri" w:eastAsia="Times New Roman" w:hAnsi="Calibri" w:cs="Calibri"/>
                <w:color w:val="000000"/>
              </w:rPr>
            </w:pPr>
            <w:r w:rsidRPr="0093372C">
              <w:rPr>
                <w:rFonts w:ascii="Calibri" w:eastAsia="Times New Roman" w:hAnsi="Calibri" w:cs="Calibri"/>
                <w:color w:val="000000"/>
              </w:rPr>
              <w:t>Wald chi2(1</w:t>
            </w:r>
            <w:r>
              <w:rPr>
                <w:rFonts w:ascii="Calibri" w:eastAsia="Times New Roman" w:hAnsi="Calibri" w:cs="Calibri"/>
                <w:color w:val="000000"/>
              </w:rPr>
              <w:t>2</w:t>
            </w:r>
            <w:r w:rsidRPr="0093372C">
              <w:rPr>
                <w:rFonts w:ascii="Calibri" w:eastAsia="Times New Roman" w:hAnsi="Calibri" w:cs="Calibri"/>
                <w:color w:val="000000"/>
              </w:rPr>
              <w:t>)</w:t>
            </w:r>
          </w:p>
        </w:tc>
        <w:tc>
          <w:tcPr>
            <w:tcW w:w="1641" w:type="dxa"/>
            <w:shd w:val="clear" w:color="auto" w:fill="FFFFFF" w:themeFill="background1"/>
            <w:noWrap/>
            <w:hideMark/>
          </w:tcPr>
          <w:p w14:paraId="4F61764C" w14:textId="77777777" w:rsidR="00547D4C" w:rsidRPr="0071591B" w:rsidRDefault="00547D4C" w:rsidP="005455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1591B">
              <w:rPr>
                <w:rFonts w:ascii="Calibri" w:eastAsia="Times New Roman" w:hAnsi="Calibri" w:cs="Calibri"/>
                <w:color w:val="000000"/>
              </w:rPr>
              <w:t>17</w:t>
            </w:r>
            <w:r>
              <w:rPr>
                <w:rFonts w:ascii="Calibri" w:eastAsia="Times New Roman" w:hAnsi="Calibri" w:cs="Calibri"/>
                <w:color w:val="000000"/>
              </w:rPr>
              <w:t>1</w:t>
            </w:r>
            <w:r w:rsidRPr="0071591B">
              <w:rPr>
                <w:rFonts w:ascii="Calibri" w:eastAsia="Times New Roman" w:hAnsi="Calibri" w:cs="Calibri"/>
                <w:color w:val="000000"/>
              </w:rPr>
              <w:t>.</w:t>
            </w:r>
            <w:r>
              <w:rPr>
                <w:rFonts w:ascii="Calibri" w:eastAsia="Times New Roman" w:hAnsi="Calibri" w:cs="Calibri"/>
                <w:color w:val="000000"/>
              </w:rPr>
              <w:t>80</w:t>
            </w:r>
          </w:p>
        </w:tc>
      </w:tr>
      <w:tr w:rsidR="00547D4C" w:rsidRPr="0071591B" w14:paraId="73E91C70" w14:textId="77777777" w:rsidTr="00522401">
        <w:trPr>
          <w:trHeight w:val="296"/>
        </w:trPr>
        <w:tc>
          <w:tcPr>
            <w:cnfStyle w:val="001000000000" w:firstRow="0" w:lastRow="0" w:firstColumn="1" w:lastColumn="0" w:oddVBand="0" w:evenVBand="0" w:oddHBand="0" w:evenHBand="0" w:firstRowFirstColumn="0" w:firstRowLastColumn="0" w:lastRowFirstColumn="0" w:lastRowLastColumn="0"/>
            <w:tcW w:w="3309" w:type="dxa"/>
            <w:shd w:val="clear" w:color="auto" w:fill="D9E2F3" w:themeFill="accent1" w:themeFillTint="33"/>
            <w:noWrap/>
            <w:hideMark/>
          </w:tcPr>
          <w:p w14:paraId="5FBD2F78" w14:textId="77777777" w:rsidR="00547D4C" w:rsidRPr="0093372C" w:rsidRDefault="00547D4C" w:rsidP="00545577">
            <w:pPr>
              <w:rPr>
                <w:rFonts w:ascii="Calibri" w:eastAsia="Times New Roman" w:hAnsi="Calibri" w:cs="Calibri"/>
                <w:color w:val="000000"/>
              </w:rPr>
            </w:pPr>
            <w:r w:rsidRPr="0093372C">
              <w:rPr>
                <w:rFonts w:ascii="Calibri" w:eastAsia="Times New Roman" w:hAnsi="Calibri" w:cs="Calibri"/>
                <w:color w:val="000000"/>
              </w:rPr>
              <w:t>Prob &gt; chi2</w:t>
            </w:r>
          </w:p>
        </w:tc>
        <w:tc>
          <w:tcPr>
            <w:tcW w:w="1641" w:type="dxa"/>
            <w:shd w:val="clear" w:color="auto" w:fill="FFFFFF" w:themeFill="background1"/>
            <w:noWrap/>
            <w:hideMark/>
          </w:tcPr>
          <w:p w14:paraId="77D2FAB6" w14:textId="77777777" w:rsidR="00547D4C" w:rsidRPr="0071591B" w:rsidRDefault="00547D4C" w:rsidP="005455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1591B">
              <w:rPr>
                <w:rFonts w:ascii="Calibri" w:eastAsia="Times New Roman" w:hAnsi="Calibri" w:cs="Calibri"/>
                <w:color w:val="000000"/>
              </w:rPr>
              <w:t>0.0000</w:t>
            </w:r>
          </w:p>
        </w:tc>
      </w:tr>
      <w:tr w:rsidR="00547D4C" w:rsidRPr="0071591B" w14:paraId="2A45B402" w14:textId="77777777" w:rsidTr="0052240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309" w:type="dxa"/>
            <w:shd w:val="clear" w:color="auto" w:fill="D9E2F3" w:themeFill="accent1" w:themeFillTint="33"/>
            <w:noWrap/>
            <w:hideMark/>
          </w:tcPr>
          <w:p w14:paraId="50F4EC7F" w14:textId="44C303FD" w:rsidR="00547D4C" w:rsidRPr="0093372C" w:rsidRDefault="00547D4C" w:rsidP="00545577">
            <w:pPr>
              <w:rPr>
                <w:rFonts w:ascii="Calibri" w:eastAsia="Times New Roman" w:hAnsi="Calibri" w:cs="Calibri"/>
                <w:color w:val="000000"/>
              </w:rPr>
            </w:pPr>
            <w:r w:rsidRPr="0093372C">
              <w:rPr>
                <w:rFonts w:ascii="Calibri" w:eastAsia="Times New Roman" w:hAnsi="Calibri" w:cs="Calibri"/>
                <w:color w:val="000000"/>
              </w:rPr>
              <w:t>R-</w:t>
            </w:r>
            <w:r w:rsidR="00E01699">
              <w:rPr>
                <w:rFonts w:ascii="Calibri" w:eastAsia="Times New Roman" w:hAnsi="Calibri" w:cs="Calibri"/>
                <w:color w:val="000000"/>
              </w:rPr>
              <w:t>squared</w:t>
            </w:r>
          </w:p>
        </w:tc>
        <w:tc>
          <w:tcPr>
            <w:tcW w:w="1641" w:type="dxa"/>
            <w:shd w:val="clear" w:color="auto" w:fill="FFFFFF" w:themeFill="background1"/>
            <w:noWrap/>
            <w:hideMark/>
          </w:tcPr>
          <w:p w14:paraId="5F21AF0F" w14:textId="77777777" w:rsidR="00547D4C" w:rsidRPr="0071591B" w:rsidRDefault="00547D4C" w:rsidP="005455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1591B">
              <w:rPr>
                <w:rFonts w:ascii="Calibri" w:eastAsia="Times New Roman" w:hAnsi="Calibri" w:cs="Calibri"/>
                <w:color w:val="000000"/>
              </w:rPr>
              <w:t>0.2</w:t>
            </w:r>
            <w:r>
              <w:rPr>
                <w:rFonts w:ascii="Calibri" w:eastAsia="Times New Roman" w:hAnsi="Calibri" w:cs="Calibri"/>
                <w:color w:val="000000"/>
              </w:rPr>
              <w:t>670</w:t>
            </w:r>
          </w:p>
        </w:tc>
      </w:tr>
    </w:tbl>
    <w:p w14:paraId="4F17773C" w14:textId="77777777" w:rsidR="00547D4C" w:rsidRDefault="00547D4C" w:rsidP="00547D4C">
      <w:pPr>
        <w:jc w:val="both"/>
        <w:rPr>
          <w:rFonts w:eastAsiaTheme="minorEastAsia"/>
          <w:sz w:val="24"/>
          <w:szCs w:val="24"/>
          <w:lang w:val="es-CL"/>
        </w:rPr>
      </w:pPr>
    </w:p>
    <w:tbl>
      <w:tblPr>
        <w:tblW w:w="9240" w:type="dxa"/>
        <w:tblCellMar>
          <w:left w:w="70" w:type="dxa"/>
          <w:right w:w="70" w:type="dxa"/>
        </w:tblCellMar>
        <w:tblLook w:val="04A0" w:firstRow="1" w:lastRow="0" w:firstColumn="1" w:lastColumn="0" w:noHBand="0" w:noVBand="1"/>
      </w:tblPr>
      <w:tblGrid>
        <w:gridCol w:w="1800"/>
        <w:gridCol w:w="1240"/>
        <w:gridCol w:w="1240"/>
        <w:gridCol w:w="1240"/>
        <w:gridCol w:w="1240"/>
        <w:gridCol w:w="1301"/>
        <w:gridCol w:w="1179"/>
      </w:tblGrid>
      <w:tr w:rsidR="00547D4C" w:rsidRPr="00AF5A5E" w14:paraId="649B6E07" w14:textId="77777777" w:rsidTr="00545577">
        <w:trPr>
          <w:trHeight w:val="288"/>
        </w:trPr>
        <w:tc>
          <w:tcPr>
            <w:tcW w:w="180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52460FB7" w14:textId="4F186DAB" w:rsidR="00547D4C" w:rsidRPr="00AF5A5E" w:rsidRDefault="00547D4C" w:rsidP="00545577">
            <w:pPr>
              <w:spacing w:after="0" w:line="240" w:lineRule="auto"/>
              <w:jc w:val="center"/>
              <w:rPr>
                <w:rFonts w:ascii="Calibri" w:eastAsia="Times New Roman" w:hAnsi="Calibri" w:cs="Calibri"/>
                <w:color w:val="000000"/>
                <w:lang w:val="es-CL" w:eastAsia="es-CL"/>
              </w:rPr>
            </w:pPr>
            <w:r w:rsidRPr="008E7809">
              <w:rPr>
                <w:rFonts w:ascii="Calibri" w:eastAsia="Times New Roman" w:hAnsi="Calibri" w:cs="Calibri"/>
                <w:b/>
                <w:bCs/>
                <w:color w:val="000000"/>
              </w:rPr>
              <w:t>Chile</w:t>
            </w:r>
            <w:r w:rsidR="00DB300C">
              <w:rPr>
                <w:rFonts w:ascii="Calibri" w:eastAsia="Times New Roman" w:hAnsi="Calibri" w:cs="Calibri"/>
                <w:b/>
                <w:bCs/>
                <w:color w:val="000000"/>
              </w:rPr>
              <w:t xml:space="preserve"> </w:t>
            </w:r>
            <w:r w:rsidR="00DB300C" w:rsidRPr="008E7809">
              <w:rPr>
                <w:rFonts w:ascii="Calibri" w:eastAsia="Times New Roman" w:hAnsi="Calibri" w:cs="Calibri"/>
                <w:b/>
                <w:bCs/>
                <w:color w:val="000000"/>
              </w:rPr>
              <w:t>Inf.</w:t>
            </w:r>
          </w:p>
        </w:tc>
        <w:tc>
          <w:tcPr>
            <w:tcW w:w="1240" w:type="dxa"/>
            <w:tcBorders>
              <w:top w:val="single" w:sz="4" w:space="0" w:color="auto"/>
              <w:left w:val="nil"/>
              <w:bottom w:val="single" w:sz="4" w:space="0" w:color="auto"/>
              <w:right w:val="single" w:sz="4" w:space="0" w:color="auto"/>
            </w:tcBorders>
            <w:shd w:val="clear" w:color="auto" w:fill="D9E2F3" w:themeFill="accent1" w:themeFillTint="33"/>
            <w:noWrap/>
            <w:hideMark/>
          </w:tcPr>
          <w:p w14:paraId="64D5ADEE" w14:textId="23D553BA" w:rsidR="00547D4C" w:rsidRPr="00AF5A5E" w:rsidRDefault="00547D4C" w:rsidP="00545577">
            <w:pPr>
              <w:spacing w:after="0" w:line="240" w:lineRule="auto"/>
              <w:jc w:val="center"/>
              <w:rPr>
                <w:rFonts w:ascii="Calibri" w:eastAsia="Times New Roman" w:hAnsi="Calibri" w:cs="Calibri"/>
                <w:color w:val="000000"/>
                <w:lang w:val="es-CL" w:eastAsia="es-CL"/>
              </w:rPr>
            </w:pPr>
            <w:r w:rsidRPr="008E7809">
              <w:rPr>
                <w:rFonts w:ascii="Calibri" w:eastAsia="Times New Roman" w:hAnsi="Calibri" w:cs="Calibri"/>
                <w:b/>
                <w:bCs/>
                <w:color w:val="000000"/>
              </w:rPr>
              <w:t>Coef</w:t>
            </w:r>
            <w:r w:rsidR="00DB300C">
              <w:rPr>
                <w:rFonts w:ascii="Calibri" w:eastAsia="Times New Roman" w:hAnsi="Calibri" w:cs="Calibri"/>
                <w:b/>
                <w:bCs/>
                <w:color w:val="000000"/>
              </w:rPr>
              <w:t>f</w:t>
            </w:r>
            <w:r w:rsidRPr="008E7809">
              <w:rPr>
                <w:rFonts w:ascii="Calibri" w:eastAsia="Times New Roman" w:hAnsi="Calibri" w:cs="Calibri"/>
                <w:b/>
                <w:bCs/>
                <w:color w:val="000000"/>
              </w:rPr>
              <w:t>icient</w:t>
            </w:r>
          </w:p>
        </w:tc>
        <w:tc>
          <w:tcPr>
            <w:tcW w:w="1240" w:type="dxa"/>
            <w:tcBorders>
              <w:top w:val="single" w:sz="4" w:space="0" w:color="auto"/>
              <w:left w:val="nil"/>
              <w:bottom w:val="single" w:sz="4" w:space="0" w:color="auto"/>
              <w:right w:val="single" w:sz="4" w:space="0" w:color="auto"/>
            </w:tcBorders>
            <w:shd w:val="clear" w:color="auto" w:fill="D9E2F3" w:themeFill="accent1" w:themeFillTint="33"/>
            <w:noWrap/>
            <w:hideMark/>
          </w:tcPr>
          <w:p w14:paraId="747E641E" w14:textId="75254312" w:rsidR="00547D4C" w:rsidRPr="00AF5A5E" w:rsidRDefault="00547D4C" w:rsidP="00545577">
            <w:pPr>
              <w:spacing w:after="0" w:line="240" w:lineRule="auto"/>
              <w:jc w:val="center"/>
              <w:rPr>
                <w:rFonts w:ascii="Calibri" w:eastAsia="Times New Roman" w:hAnsi="Calibri" w:cs="Calibri"/>
                <w:color w:val="000000"/>
                <w:lang w:val="es-CL" w:eastAsia="es-CL"/>
              </w:rPr>
            </w:pPr>
            <w:r w:rsidRPr="008E7809">
              <w:rPr>
                <w:rFonts w:ascii="Calibri" w:eastAsia="Times New Roman" w:hAnsi="Calibri" w:cs="Calibri"/>
                <w:b/>
                <w:bCs/>
                <w:color w:val="000000"/>
              </w:rPr>
              <w:t>Robust</w:t>
            </w:r>
            <w:r w:rsidR="00DB300C">
              <w:rPr>
                <w:rFonts w:ascii="Calibri" w:eastAsia="Times New Roman" w:hAnsi="Calibri" w:cs="Calibri"/>
                <w:b/>
                <w:bCs/>
                <w:color w:val="000000"/>
              </w:rPr>
              <w:t xml:space="preserve"> Std. Err.</w:t>
            </w:r>
          </w:p>
        </w:tc>
        <w:tc>
          <w:tcPr>
            <w:tcW w:w="1240" w:type="dxa"/>
            <w:tcBorders>
              <w:top w:val="single" w:sz="4" w:space="0" w:color="auto"/>
              <w:left w:val="nil"/>
              <w:bottom w:val="single" w:sz="4" w:space="0" w:color="auto"/>
              <w:right w:val="single" w:sz="4" w:space="0" w:color="auto"/>
            </w:tcBorders>
            <w:shd w:val="clear" w:color="auto" w:fill="D9E2F3" w:themeFill="accent1" w:themeFillTint="33"/>
            <w:noWrap/>
            <w:hideMark/>
          </w:tcPr>
          <w:p w14:paraId="2FD3B8E1" w14:textId="77777777" w:rsidR="00547D4C" w:rsidRPr="00AF5A5E" w:rsidRDefault="00547D4C" w:rsidP="00545577">
            <w:pPr>
              <w:spacing w:after="0" w:line="240" w:lineRule="auto"/>
              <w:jc w:val="center"/>
              <w:rPr>
                <w:rFonts w:ascii="Calibri" w:eastAsia="Times New Roman" w:hAnsi="Calibri" w:cs="Calibri"/>
                <w:color w:val="000000"/>
                <w:lang w:val="es-CL" w:eastAsia="es-CL"/>
              </w:rPr>
            </w:pPr>
            <w:r>
              <w:rPr>
                <w:rFonts w:ascii="Calibri" w:eastAsia="Times New Roman" w:hAnsi="Calibri" w:cs="Calibri"/>
                <w:b/>
                <w:bCs/>
                <w:color w:val="000000"/>
              </w:rPr>
              <w:t>z</w:t>
            </w:r>
          </w:p>
        </w:tc>
        <w:tc>
          <w:tcPr>
            <w:tcW w:w="1240" w:type="dxa"/>
            <w:tcBorders>
              <w:top w:val="single" w:sz="4" w:space="0" w:color="auto"/>
              <w:left w:val="nil"/>
              <w:bottom w:val="single" w:sz="4" w:space="0" w:color="auto"/>
              <w:right w:val="single" w:sz="4" w:space="0" w:color="auto"/>
            </w:tcBorders>
            <w:shd w:val="clear" w:color="auto" w:fill="D9E2F3" w:themeFill="accent1" w:themeFillTint="33"/>
            <w:noWrap/>
            <w:hideMark/>
          </w:tcPr>
          <w:p w14:paraId="68684B74" w14:textId="77777777" w:rsidR="00547D4C" w:rsidRPr="00AF5A5E" w:rsidRDefault="00547D4C" w:rsidP="00545577">
            <w:pPr>
              <w:spacing w:after="0" w:line="240" w:lineRule="auto"/>
              <w:jc w:val="center"/>
              <w:rPr>
                <w:rFonts w:ascii="Calibri" w:eastAsia="Times New Roman" w:hAnsi="Calibri" w:cs="Calibri"/>
                <w:color w:val="000000"/>
                <w:lang w:val="es-CL" w:eastAsia="es-CL"/>
              </w:rPr>
            </w:pPr>
            <w:r w:rsidRPr="008E7809">
              <w:rPr>
                <w:rFonts w:ascii="Calibri" w:eastAsia="Times New Roman" w:hAnsi="Calibri" w:cs="Calibri"/>
                <w:b/>
                <w:bCs/>
                <w:color w:val="000000"/>
              </w:rPr>
              <w:t>p&gt;|</w:t>
            </w:r>
            <w:r>
              <w:rPr>
                <w:rFonts w:ascii="Calibri" w:eastAsia="Times New Roman" w:hAnsi="Calibri" w:cs="Calibri"/>
                <w:b/>
                <w:bCs/>
                <w:color w:val="000000"/>
              </w:rPr>
              <w:t>z</w:t>
            </w:r>
            <w:r w:rsidRPr="008E7809">
              <w:rPr>
                <w:rFonts w:ascii="Calibri" w:eastAsia="Times New Roman" w:hAnsi="Calibri" w:cs="Calibri"/>
                <w:b/>
                <w:bCs/>
                <w:color w:val="000000"/>
              </w:rPr>
              <w:t>|</w:t>
            </w:r>
          </w:p>
        </w:tc>
        <w:tc>
          <w:tcPr>
            <w:tcW w:w="2480" w:type="dxa"/>
            <w:gridSpan w:val="2"/>
            <w:tcBorders>
              <w:top w:val="single" w:sz="4" w:space="0" w:color="auto"/>
              <w:left w:val="nil"/>
              <w:bottom w:val="single" w:sz="4" w:space="0" w:color="auto"/>
              <w:right w:val="single" w:sz="4" w:space="0" w:color="auto"/>
            </w:tcBorders>
            <w:shd w:val="clear" w:color="auto" w:fill="D9E2F3" w:themeFill="accent1" w:themeFillTint="33"/>
            <w:noWrap/>
            <w:hideMark/>
          </w:tcPr>
          <w:p w14:paraId="0423986E" w14:textId="0CA87875" w:rsidR="00547D4C" w:rsidRPr="00AF5A5E" w:rsidRDefault="00187BA3" w:rsidP="00545577">
            <w:pPr>
              <w:spacing w:after="0" w:line="240" w:lineRule="auto"/>
              <w:jc w:val="center"/>
              <w:rPr>
                <w:rFonts w:ascii="Calibri" w:eastAsia="Times New Roman" w:hAnsi="Calibri" w:cs="Calibri"/>
                <w:color w:val="000000"/>
                <w:lang w:val="es-CL" w:eastAsia="es-CL"/>
              </w:rPr>
            </w:pPr>
            <w:r>
              <w:rPr>
                <w:rFonts w:ascii="Calibri" w:eastAsia="Times New Roman" w:hAnsi="Calibri" w:cs="Calibri"/>
                <w:b/>
                <w:bCs/>
                <w:color w:val="000000"/>
              </w:rPr>
              <w:t xml:space="preserve">Confidence </w:t>
            </w:r>
            <w:r w:rsidR="00547D4C" w:rsidRPr="008E7809">
              <w:rPr>
                <w:rFonts w:ascii="Calibri" w:eastAsia="Times New Roman" w:hAnsi="Calibri" w:cs="Calibri"/>
                <w:b/>
                <w:bCs/>
                <w:color w:val="000000"/>
              </w:rPr>
              <w:t>Interval (95%)</w:t>
            </w:r>
          </w:p>
        </w:tc>
      </w:tr>
      <w:tr w:rsidR="00547D4C" w:rsidRPr="00AF5A5E" w14:paraId="38EC5012" w14:textId="77777777" w:rsidTr="00545577">
        <w:trPr>
          <w:trHeight w:val="28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D8F9FB" w14:textId="01BA01BC" w:rsidR="00547D4C" w:rsidRPr="00187BA3" w:rsidRDefault="00187BA3" w:rsidP="00545577">
            <w:pPr>
              <w:spacing w:after="0" w:line="240" w:lineRule="auto"/>
              <w:rPr>
                <w:rFonts w:ascii="Calibri" w:eastAsia="Times New Roman" w:hAnsi="Calibri" w:cs="Calibri"/>
                <w:color w:val="000000"/>
                <w:lang w:val="es-CL" w:eastAsia="es-CL"/>
              </w:rPr>
            </w:pPr>
            <m:oMathPara>
              <m:oMathParaPr>
                <m:jc m:val="left"/>
              </m:oMathParaPr>
              <m:oMath>
                <m:r>
                  <w:rPr>
                    <w:rFonts w:ascii="Cambria Math" w:eastAsia="Times New Roman" w:hAnsi="Cambria Math" w:cs="Calibri"/>
                    <w:color w:val="000000"/>
                  </w:rPr>
                  <m:t>∆E</m:t>
                </m:r>
              </m:oMath>
            </m:oMathPara>
          </w:p>
        </w:tc>
        <w:tc>
          <w:tcPr>
            <w:tcW w:w="1240" w:type="dxa"/>
            <w:tcBorders>
              <w:top w:val="nil"/>
              <w:left w:val="nil"/>
              <w:bottom w:val="single" w:sz="4" w:space="0" w:color="auto"/>
              <w:right w:val="single" w:sz="4" w:space="0" w:color="auto"/>
            </w:tcBorders>
            <w:shd w:val="clear" w:color="auto" w:fill="auto"/>
            <w:noWrap/>
            <w:vAlign w:val="bottom"/>
            <w:hideMark/>
          </w:tcPr>
          <w:p w14:paraId="53FADA30"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0.1122</w:t>
            </w:r>
          </w:p>
        </w:tc>
        <w:tc>
          <w:tcPr>
            <w:tcW w:w="1240" w:type="dxa"/>
            <w:tcBorders>
              <w:top w:val="nil"/>
              <w:left w:val="nil"/>
              <w:bottom w:val="single" w:sz="4" w:space="0" w:color="auto"/>
              <w:right w:val="single" w:sz="4" w:space="0" w:color="auto"/>
            </w:tcBorders>
            <w:shd w:val="clear" w:color="auto" w:fill="auto"/>
            <w:noWrap/>
            <w:vAlign w:val="bottom"/>
            <w:hideMark/>
          </w:tcPr>
          <w:p w14:paraId="599152A1"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0.0295</w:t>
            </w:r>
          </w:p>
        </w:tc>
        <w:tc>
          <w:tcPr>
            <w:tcW w:w="1240" w:type="dxa"/>
            <w:tcBorders>
              <w:top w:val="nil"/>
              <w:left w:val="nil"/>
              <w:bottom w:val="single" w:sz="4" w:space="0" w:color="auto"/>
              <w:right w:val="single" w:sz="4" w:space="0" w:color="auto"/>
            </w:tcBorders>
            <w:shd w:val="clear" w:color="auto" w:fill="auto"/>
            <w:noWrap/>
            <w:vAlign w:val="bottom"/>
            <w:hideMark/>
          </w:tcPr>
          <w:p w14:paraId="371BD99C"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3.8</w:t>
            </w:r>
          </w:p>
        </w:tc>
        <w:tc>
          <w:tcPr>
            <w:tcW w:w="1240" w:type="dxa"/>
            <w:tcBorders>
              <w:top w:val="nil"/>
              <w:left w:val="nil"/>
              <w:bottom w:val="single" w:sz="4" w:space="0" w:color="auto"/>
              <w:right w:val="single" w:sz="4" w:space="0" w:color="auto"/>
            </w:tcBorders>
            <w:shd w:val="clear" w:color="auto" w:fill="auto"/>
            <w:noWrap/>
            <w:vAlign w:val="bottom"/>
            <w:hideMark/>
          </w:tcPr>
          <w:p w14:paraId="4277F776"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w:t>
            </w:r>
          </w:p>
        </w:tc>
        <w:tc>
          <w:tcPr>
            <w:tcW w:w="1301" w:type="dxa"/>
            <w:tcBorders>
              <w:top w:val="nil"/>
              <w:left w:val="nil"/>
              <w:bottom w:val="single" w:sz="4" w:space="0" w:color="auto"/>
              <w:right w:val="single" w:sz="4" w:space="0" w:color="auto"/>
            </w:tcBorders>
            <w:shd w:val="clear" w:color="auto" w:fill="auto"/>
            <w:noWrap/>
            <w:vAlign w:val="bottom"/>
            <w:hideMark/>
          </w:tcPr>
          <w:p w14:paraId="0F5D2FC7"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0.0544</w:t>
            </w:r>
          </w:p>
        </w:tc>
        <w:tc>
          <w:tcPr>
            <w:tcW w:w="1179" w:type="dxa"/>
            <w:tcBorders>
              <w:top w:val="nil"/>
              <w:left w:val="nil"/>
              <w:bottom w:val="single" w:sz="4" w:space="0" w:color="auto"/>
              <w:right w:val="single" w:sz="4" w:space="0" w:color="auto"/>
            </w:tcBorders>
            <w:shd w:val="clear" w:color="auto" w:fill="auto"/>
            <w:noWrap/>
            <w:vAlign w:val="bottom"/>
            <w:hideMark/>
          </w:tcPr>
          <w:p w14:paraId="04FEAAD5"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0.1700</w:t>
            </w:r>
          </w:p>
        </w:tc>
      </w:tr>
      <w:tr w:rsidR="00547D4C" w:rsidRPr="00AF5A5E" w14:paraId="68D3375F" w14:textId="77777777" w:rsidTr="00545577">
        <w:trPr>
          <w:trHeight w:val="28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C8A033" w14:textId="3AE3B1BC" w:rsidR="00547D4C" w:rsidRPr="00AF5A5E" w:rsidRDefault="00547D4C" w:rsidP="00545577">
            <w:pPr>
              <w:spacing w:after="0" w:line="240" w:lineRule="auto"/>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US</w:t>
            </w:r>
            <w:r w:rsidR="00B60A3D">
              <w:rPr>
                <w:rFonts w:ascii="Calibri" w:eastAsia="Times New Roman" w:hAnsi="Calibri" w:cs="Calibri"/>
                <w:color w:val="000000"/>
                <w:lang w:val="es-CL" w:eastAsia="es-CL"/>
              </w:rPr>
              <w:t xml:space="preserve"> I</w:t>
            </w:r>
            <w:r w:rsidR="00B60A3D" w:rsidRPr="00AF5A5E">
              <w:rPr>
                <w:rFonts w:ascii="Calibri" w:eastAsia="Times New Roman" w:hAnsi="Calibri" w:cs="Calibri"/>
                <w:color w:val="000000"/>
                <w:lang w:val="es-CL" w:eastAsia="es-CL"/>
              </w:rPr>
              <w:t>nf</w:t>
            </w:r>
            <w:r w:rsidR="00B60A3D">
              <w:rPr>
                <w:rFonts w:ascii="Calibri" w:eastAsia="Times New Roman" w:hAnsi="Calibri" w:cs="Calibri"/>
                <w:color w:val="000000"/>
                <w:lang w:val="es-CL" w:eastAsia="es-CL"/>
              </w:rPr>
              <w:t>.</w:t>
            </w:r>
          </w:p>
        </w:tc>
        <w:tc>
          <w:tcPr>
            <w:tcW w:w="1240" w:type="dxa"/>
            <w:tcBorders>
              <w:top w:val="nil"/>
              <w:left w:val="nil"/>
              <w:bottom w:val="single" w:sz="4" w:space="0" w:color="auto"/>
              <w:right w:val="single" w:sz="4" w:space="0" w:color="auto"/>
            </w:tcBorders>
            <w:shd w:val="clear" w:color="auto" w:fill="auto"/>
            <w:noWrap/>
            <w:vAlign w:val="bottom"/>
            <w:hideMark/>
          </w:tcPr>
          <w:p w14:paraId="17B6A051"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0.5255</w:t>
            </w:r>
          </w:p>
        </w:tc>
        <w:tc>
          <w:tcPr>
            <w:tcW w:w="1240" w:type="dxa"/>
            <w:tcBorders>
              <w:top w:val="nil"/>
              <w:left w:val="nil"/>
              <w:bottom w:val="single" w:sz="4" w:space="0" w:color="auto"/>
              <w:right w:val="single" w:sz="4" w:space="0" w:color="auto"/>
            </w:tcBorders>
            <w:shd w:val="clear" w:color="auto" w:fill="auto"/>
            <w:noWrap/>
            <w:vAlign w:val="bottom"/>
            <w:hideMark/>
          </w:tcPr>
          <w:p w14:paraId="54310A75"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0.0758</w:t>
            </w:r>
          </w:p>
        </w:tc>
        <w:tc>
          <w:tcPr>
            <w:tcW w:w="1240" w:type="dxa"/>
            <w:tcBorders>
              <w:top w:val="nil"/>
              <w:left w:val="nil"/>
              <w:bottom w:val="single" w:sz="4" w:space="0" w:color="auto"/>
              <w:right w:val="single" w:sz="4" w:space="0" w:color="auto"/>
            </w:tcBorders>
            <w:shd w:val="clear" w:color="auto" w:fill="auto"/>
            <w:noWrap/>
            <w:vAlign w:val="bottom"/>
            <w:hideMark/>
          </w:tcPr>
          <w:p w14:paraId="786B0BD5"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6.94</w:t>
            </w:r>
          </w:p>
        </w:tc>
        <w:tc>
          <w:tcPr>
            <w:tcW w:w="1240" w:type="dxa"/>
            <w:tcBorders>
              <w:top w:val="nil"/>
              <w:left w:val="nil"/>
              <w:bottom w:val="single" w:sz="4" w:space="0" w:color="auto"/>
              <w:right w:val="single" w:sz="4" w:space="0" w:color="auto"/>
            </w:tcBorders>
            <w:shd w:val="clear" w:color="auto" w:fill="auto"/>
            <w:noWrap/>
            <w:vAlign w:val="bottom"/>
            <w:hideMark/>
          </w:tcPr>
          <w:p w14:paraId="3DB1E8B5"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w:t>
            </w:r>
          </w:p>
        </w:tc>
        <w:tc>
          <w:tcPr>
            <w:tcW w:w="1301" w:type="dxa"/>
            <w:tcBorders>
              <w:top w:val="nil"/>
              <w:left w:val="nil"/>
              <w:bottom w:val="single" w:sz="4" w:space="0" w:color="auto"/>
              <w:right w:val="single" w:sz="4" w:space="0" w:color="auto"/>
            </w:tcBorders>
            <w:shd w:val="clear" w:color="auto" w:fill="auto"/>
            <w:noWrap/>
            <w:vAlign w:val="bottom"/>
            <w:hideMark/>
          </w:tcPr>
          <w:p w14:paraId="6D394B2E"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0.3770</w:t>
            </w:r>
          </w:p>
        </w:tc>
        <w:tc>
          <w:tcPr>
            <w:tcW w:w="1179" w:type="dxa"/>
            <w:tcBorders>
              <w:top w:val="nil"/>
              <w:left w:val="nil"/>
              <w:bottom w:val="single" w:sz="4" w:space="0" w:color="auto"/>
              <w:right w:val="single" w:sz="4" w:space="0" w:color="auto"/>
            </w:tcBorders>
            <w:shd w:val="clear" w:color="auto" w:fill="auto"/>
            <w:noWrap/>
            <w:vAlign w:val="bottom"/>
            <w:hideMark/>
          </w:tcPr>
          <w:p w14:paraId="4A062556"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0.6740</w:t>
            </w:r>
          </w:p>
        </w:tc>
      </w:tr>
      <w:tr w:rsidR="00547D4C" w:rsidRPr="00AF5A5E" w14:paraId="6A5516C3" w14:textId="77777777" w:rsidTr="00545577">
        <w:trPr>
          <w:trHeight w:val="28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001D45" w14:textId="0E076A66" w:rsidR="00547D4C" w:rsidRPr="00AF5A5E" w:rsidRDefault="00547D4C" w:rsidP="00545577">
            <w:pPr>
              <w:spacing w:after="0" w:line="240" w:lineRule="auto"/>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China</w:t>
            </w:r>
            <w:r w:rsidR="00B60A3D">
              <w:rPr>
                <w:rFonts w:ascii="Calibri" w:eastAsia="Times New Roman" w:hAnsi="Calibri" w:cs="Calibri"/>
                <w:color w:val="000000"/>
                <w:lang w:val="es-CL" w:eastAsia="es-CL"/>
              </w:rPr>
              <w:t xml:space="preserve"> I</w:t>
            </w:r>
            <w:r w:rsidR="00B60A3D" w:rsidRPr="00AF5A5E">
              <w:rPr>
                <w:rFonts w:ascii="Calibri" w:eastAsia="Times New Roman" w:hAnsi="Calibri" w:cs="Calibri"/>
                <w:color w:val="000000"/>
                <w:lang w:val="es-CL" w:eastAsia="es-CL"/>
              </w:rPr>
              <w:t>nf</w:t>
            </w:r>
            <w:r w:rsidR="00B60A3D">
              <w:rPr>
                <w:rFonts w:ascii="Calibri" w:eastAsia="Times New Roman" w:hAnsi="Calibri" w:cs="Calibri"/>
                <w:color w:val="000000"/>
                <w:lang w:val="es-CL" w:eastAsia="es-CL"/>
              </w:rPr>
              <w:t>.</w:t>
            </w:r>
          </w:p>
        </w:tc>
        <w:tc>
          <w:tcPr>
            <w:tcW w:w="1240" w:type="dxa"/>
            <w:tcBorders>
              <w:top w:val="nil"/>
              <w:left w:val="nil"/>
              <w:bottom w:val="single" w:sz="4" w:space="0" w:color="auto"/>
              <w:right w:val="single" w:sz="4" w:space="0" w:color="auto"/>
            </w:tcBorders>
            <w:shd w:val="clear" w:color="auto" w:fill="auto"/>
            <w:noWrap/>
            <w:vAlign w:val="bottom"/>
            <w:hideMark/>
          </w:tcPr>
          <w:p w14:paraId="416F86CE"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0.0691</w:t>
            </w:r>
          </w:p>
        </w:tc>
        <w:tc>
          <w:tcPr>
            <w:tcW w:w="1240" w:type="dxa"/>
            <w:tcBorders>
              <w:top w:val="nil"/>
              <w:left w:val="nil"/>
              <w:bottom w:val="single" w:sz="4" w:space="0" w:color="auto"/>
              <w:right w:val="single" w:sz="4" w:space="0" w:color="auto"/>
            </w:tcBorders>
            <w:shd w:val="clear" w:color="auto" w:fill="auto"/>
            <w:noWrap/>
            <w:vAlign w:val="bottom"/>
            <w:hideMark/>
          </w:tcPr>
          <w:p w14:paraId="6E936327"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0.0391</w:t>
            </w:r>
          </w:p>
        </w:tc>
        <w:tc>
          <w:tcPr>
            <w:tcW w:w="1240" w:type="dxa"/>
            <w:tcBorders>
              <w:top w:val="nil"/>
              <w:left w:val="nil"/>
              <w:bottom w:val="single" w:sz="4" w:space="0" w:color="auto"/>
              <w:right w:val="single" w:sz="4" w:space="0" w:color="auto"/>
            </w:tcBorders>
            <w:shd w:val="clear" w:color="auto" w:fill="auto"/>
            <w:noWrap/>
            <w:vAlign w:val="bottom"/>
            <w:hideMark/>
          </w:tcPr>
          <w:p w14:paraId="274FB29A"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1.77</w:t>
            </w:r>
          </w:p>
        </w:tc>
        <w:tc>
          <w:tcPr>
            <w:tcW w:w="1240" w:type="dxa"/>
            <w:tcBorders>
              <w:top w:val="nil"/>
              <w:left w:val="nil"/>
              <w:bottom w:val="single" w:sz="4" w:space="0" w:color="auto"/>
              <w:right w:val="single" w:sz="4" w:space="0" w:color="auto"/>
            </w:tcBorders>
            <w:shd w:val="clear" w:color="auto" w:fill="auto"/>
            <w:noWrap/>
            <w:vAlign w:val="bottom"/>
            <w:hideMark/>
          </w:tcPr>
          <w:p w14:paraId="378372EC"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0.077</w:t>
            </w:r>
          </w:p>
        </w:tc>
        <w:tc>
          <w:tcPr>
            <w:tcW w:w="1301" w:type="dxa"/>
            <w:tcBorders>
              <w:top w:val="nil"/>
              <w:left w:val="nil"/>
              <w:bottom w:val="single" w:sz="4" w:space="0" w:color="auto"/>
              <w:right w:val="single" w:sz="4" w:space="0" w:color="auto"/>
            </w:tcBorders>
            <w:shd w:val="clear" w:color="auto" w:fill="auto"/>
            <w:noWrap/>
            <w:vAlign w:val="bottom"/>
            <w:hideMark/>
          </w:tcPr>
          <w:p w14:paraId="48DC8B52"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-0.0075</w:t>
            </w:r>
          </w:p>
        </w:tc>
        <w:tc>
          <w:tcPr>
            <w:tcW w:w="1179" w:type="dxa"/>
            <w:tcBorders>
              <w:top w:val="nil"/>
              <w:left w:val="nil"/>
              <w:bottom w:val="single" w:sz="4" w:space="0" w:color="auto"/>
              <w:right w:val="single" w:sz="4" w:space="0" w:color="auto"/>
            </w:tcBorders>
            <w:shd w:val="clear" w:color="auto" w:fill="auto"/>
            <w:noWrap/>
            <w:vAlign w:val="bottom"/>
            <w:hideMark/>
          </w:tcPr>
          <w:p w14:paraId="4FD99C7C"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0.1457</w:t>
            </w:r>
          </w:p>
        </w:tc>
      </w:tr>
      <w:tr w:rsidR="00547D4C" w:rsidRPr="00AF5A5E" w14:paraId="4022FDE1" w14:textId="77777777" w:rsidTr="00545577">
        <w:trPr>
          <w:trHeight w:val="28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572F40" w14:textId="382257F7" w:rsidR="00547D4C" w:rsidRPr="00AF5A5E" w:rsidRDefault="00547D4C" w:rsidP="00545577">
            <w:pPr>
              <w:spacing w:after="0" w:line="240" w:lineRule="auto"/>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Eurozon</w:t>
            </w:r>
            <w:r w:rsidR="00B60A3D">
              <w:rPr>
                <w:rFonts w:ascii="Calibri" w:eastAsia="Times New Roman" w:hAnsi="Calibri" w:cs="Calibri"/>
                <w:color w:val="000000"/>
                <w:lang w:val="es-CL" w:eastAsia="es-CL"/>
              </w:rPr>
              <w:t>e I</w:t>
            </w:r>
            <w:r w:rsidR="00B60A3D" w:rsidRPr="00AF5A5E">
              <w:rPr>
                <w:rFonts w:ascii="Calibri" w:eastAsia="Times New Roman" w:hAnsi="Calibri" w:cs="Calibri"/>
                <w:color w:val="000000"/>
                <w:lang w:val="es-CL" w:eastAsia="es-CL"/>
              </w:rPr>
              <w:t>nf</w:t>
            </w:r>
            <w:r w:rsidR="00B60A3D">
              <w:rPr>
                <w:rFonts w:ascii="Calibri" w:eastAsia="Times New Roman" w:hAnsi="Calibri" w:cs="Calibri"/>
                <w:color w:val="000000"/>
                <w:lang w:val="es-CL" w:eastAsia="es-CL"/>
              </w:rPr>
              <w:t>.</w:t>
            </w:r>
          </w:p>
        </w:tc>
        <w:tc>
          <w:tcPr>
            <w:tcW w:w="1240" w:type="dxa"/>
            <w:tcBorders>
              <w:top w:val="nil"/>
              <w:left w:val="nil"/>
              <w:bottom w:val="single" w:sz="4" w:space="0" w:color="auto"/>
              <w:right w:val="single" w:sz="4" w:space="0" w:color="auto"/>
            </w:tcBorders>
            <w:shd w:val="clear" w:color="auto" w:fill="auto"/>
            <w:noWrap/>
            <w:vAlign w:val="bottom"/>
            <w:hideMark/>
          </w:tcPr>
          <w:p w14:paraId="74BC801D"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-0.0028</w:t>
            </w:r>
          </w:p>
        </w:tc>
        <w:tc>
          <w:tcPr>
            <w:tcW w:w="1240" w:type="dxa"/>
            <w:tcBorders>
              <w:top w:val="nil"/>
              <w:left w:val="nil"/>
              <w:bottom w:val="single" w:sz="4" w:space="0" w:color="auto"/>
              <w:right w:val="single" w:sz="4" w:space="0" w:color="auto"/>
            </w:tcBorders>
            <w:shd w:val="clear" w:color="auto" w:fill="auto"/>
            <w:noWrap/>
            <w:vAlign w:val="bottom"/>
            <w:hideMark/>
          </w:tcPr>
          <w:p w14:paraId="7E8BDEE1"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0.0647</w:t>
            </w:r>
          </w:p>
        </w:tc>
        <w:tc>
          <w:tcPr>
            <w:tcW w:w="1240" w:type="dxa"/>
            <w:tcBorders>
              <w:top w:val="nil"/>
              <w:left w:val="nil"/>
              <w:bottom w:val="single" w:sz="4" w:space="0" w:color="auto"/>
              <w:right w:val="single" w:sz="4" w:space="0" w:color="auto"/>
            </w:tcBorders>
            <w:shd w:val="clear" w:color="auto" w:fill="auto"/>
            <w:noWrap/>
            <w:vAlign w:val="bottom"/>
            <w:hideMark/>
          </w:tcPr>
          <w:p w14:paraId="56F251CD"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-0.04</w:t>
            </w:r>
          </w:p>
        </w:tc>
        <w:tc>
          <w:tcPr>
            <w:tcW w:w="1240" w:type="dxa"/>
            <w:tcBorders>
              <w:top w:val="nil"/>
              <w:left w:val="nil"/>
              <w:bottom w:val="single" w:sz="4" w:space="0" w:color="auto"/>
              <w:right w:val="single" w:sz="4" w:space="0" w:color="auto"/>
            </w:tcBorders>
            <w:shd w:val="clear" w:color="auto" w:fill="auto"/>
            <w:noWrap/>
            <w:vAlign w:val="bottom"/>
            <w:hideMark/>
          </w:tcPr>
          <w:p w14:paraId="29390D40"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0.965</w:t>
            </w:r>
          </w:p>
        </w:tc>
        <w:tc>
          <w:tcPr>
            <w:tcW w:w="1301" w:type="dxa"/>
            <w:tcBorders>
              <w:top w:val="nil"/>
              <w:left w:val="nil"/>
              <w:bottom w:val="single" w:sz="4" w:space="0" w:color="auto"/>
              <w:right w:val="single" w:sz="4" w:space="0" w:color="auto"/>
            </w:tcBorders>
            <w:shd w:val="clear" w:color="auto" w:fill="auto"/>
            <w:noWrap/>
            <w:vAlign w:val="bottom"/>
            <w:hideMark/>
          </w:tcPr>
          <w:p w14:paraId="0CBE19AF"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-0.1297</w:t>
            </w:r>
          </w:p>
        </w:tc>
        <w:tc>
          <w:tcPr>
            <w:tcW w:w="1179" w:type="dxa"/>
            <w:tcBorders>
              <w:top w:val="nil"/>
              <w:left w:val="nil"/>
              <w:bottom w:val="single" w:sz="4" w:space="0" w:color="auto"/>
              <w:right w:val="single" w:sz="4" w:space="0" w:color="auto"/>
            </w:tcBorders>
            <w:shd w:val="clear" w:color="auto" w:fill="auto"/>
            <w:noWrap/>
            <w:vAlign w:val="bottom"/>
            <w:hideMark/>
          </w:tcPr>
          <w:p w14:paraId="73EC0259"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0.1241</w:t>
            </w:r>
          </w:p>
        </w:tc>
      </w:tr>
      <w:tr w:rsidR="00FA2E3E" w:rsidRPr="00AF5A5E" w14:paraId="147098C6" w14:textId="77777777" w:rsidTr="001D301C">
        <w:trPr>
          <w:trHeight w:val="288"/>
        </w:trPr>
        <w:tc>
          <w:tcPr>
            <w:tcW w:w="1800" w:type="dxa"/>
            <w:tcBorders>
              <w:top w:val="nil"/>
              <w:left w:val="single" w:sz="4" w:space="0" w:color="auto"/>
              <w:bottom w:val="single" w:sz="4" w:space="0" w:color="auto"/>
              <w:right w:val="single" w:sz="4" w:space="0" w:color="auto"/>
            </w:tcBorders>
            <w:shd w:val="clear" w:color="auto" w:fill="auto"/>
            <w:noWrap/>
            <w:hideMark/>
          </w:tcPr>
          <w:p w14:paraId="197269CC" w14:textId="018D2E4E" w:rsidR="00FA2E3E" w:rsidRPr="00FA2E3E" w:rsidRDefault="0062217F" w:rsidP="00FA2E3E">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1</m:t>
                    </m:r>
                  </m:sub>
                </m:sSub>
              </m:oMath>
            </m:oMathPara>
          </w:p>
        </w:tc>
        <w:tc>
          <w:tcPr>
            <w:tcW w:w="1240" w:type="dxa"/>
            <w:tcBorders>
              <w:top w:val="nil"/>
              <w:left w:val="nil"/>
              <w:bottom w:val="single" w:sz="4" w:space="0" w:color="auto"/>
              <w:right w:val="single" w:sz="4" w:space="0" w:color="auto"/>
            </w:tcBorders>
            <w:shd w:val="clear" w:color="auto" w:fill="auto"/>
            <w:noWrap/>
            <w:vAlign w:val="bottom"/>
            <w:hideMark/>
          </w:tcPr>
          <w:p w14:paraId="55516E68"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-0.0006</w:t>
            </w:r>
          </w:p>
        </w:tc>
        <w:tc>
          <w:tcPr>
            <w:tcW w:w="1240" w:type="dxa"/>
            <w:tcBorders>
              <w:top w:val="nil"/>
              <w:left w:val="nil"/>
              <w:bottom w:val="single" w:sz="4" w:space="0" w:color="auto"/>
              <w:right w:val="single" w:sz="4" w:space="0" w:color="auto"/>
            </w:tcBorders>
            <w:shd w:val="clear" w:color="auto" w:fill="auto"/>
            <w:noWrap/>
            <w:vAlign w:val="bottom"/>
            <w:hideMark/>
          </w:tcPr>
          <w:p w14:paraId="30056792"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0.0014</w:t>
            </w:r>
          </w:p>
        </w:tc>
        <w:tc>
          <w:tcPr>
            <w:tcW w:w="1240" w:type="dxa"/>
            <w:tcBorders>
              <w:top w:val="nil"/>
              <w:left w:val="nil"/>
              <w:bottom w:val="single" w:sz="4" w:space="0" w:color="auto"/>
              <w:right w:val="single" w:sz="4" w:space="0" w:color="auto"/>
            </w:tcBorders>
            <w:shd w:val="clear" w:color="auto" w:fill="auto"/>
            <w:noWrap/>
            <w:vAlign w:val="bottom"/>
            <w:hideMark/>
          </w:tcPr>
          <w:p w14:paraId="5A631312"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-0.39</w:t>
            </w:r>
          </w:p>
        </w:tc>
        <w:tc>
          <w:tcPr>
            <w:tcW w:w="1240" w:type="dxa"/>
            <w:tcBorders>
              <w:top w:val="nil"/>
              <w:left w:val="nil"/>
              <w:bottom w:val="single" w:sz="4" w:space="0" w:color="auto"/>
              <w:right w:val="single" w:sz="4" w:space="0" w:color="auto"/>
            </w:tcBorders>
            <w:shd w:val="clear" w:color="auto" w:fill="auto"/>
            <w:noWrap/>
            <w:vAlign w:val="bottom"/>
            <w:hideMark/>
          </w:tcPr>
          <w:p w14:paraId="25DF7ADF"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0.694</w:t>
            </w:r>
          </w:p>
        </w:tc>
        <w:tc>
          <w:tcPr>
            <w:tcW w:w="1301" w:type="dxa"/>
            <w:tcBorders>
              <w:top w:val="nil"/>
              <w:left w:val="nil"/>
              <w:bottom w:val="single" w:sz="4" w:space="0" w:color="auto"/>
              <w:right w:val="single" w:sz="4" w:space="0" w:color="auto"/>
            </w:tcBorders>
            <w:shd w:val="clear" w:color="auto" w:fill="auto"/>
            <w:noWrap/>
            <w:vAlign w:val="bottom"/>
            <w:hideMark/>
          </w:tcPr>
          <w:p w14:paraId="097994FB"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-0.0034</w:t>
            </w:r>
          </w:p>
        </w:tc>
        <w:tc>
          <w:tcPr>
            <w:tcW w:w="1179" w:type="dxa"/>
            <w:tcBorders>
              <w:top w:val="nil"/>
              <w:left w:val="nil"/>
              <w:bottom w:val="single" w:sz="4" w:space="0" w:color="auto"/>
              <w:right w:val="single" w:sz="4" w:space="0" w:color="auto"/>
            </w:tcBorders>
            <w:shd w:val="clear" w:color="auto" w:fill="auto"/>
            <w:noWrap/>
            <w:vAlign w:val="bottom"/>
            <w:hideMark/>
          </w:tcPr>
          <w:p w14:paraId="18551E1A"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0.0023</w:t>
            </w:r>
          </w:p>
        </w:tc>
      </w:tr>
      <w:tr w:rsidR="00FA2E3E" w:rsidRPr="00AF5A5E" w14:paraId="2B65D124" w14:textId="77777777" w:rsidTr="001D301C">
        <w:trPr>
          <w:trHeight w:val="288"/>
        </w:trPr>
        <w:tc>
          <w:tcPr>
            <w:tcW w:w="1800" w:type="dxa"/>
            <w:tcBorders>
              <w:top w:val="nil"/>
              <w:left w:val="single" w:sz="4" w:space="0" w:color="auto"/>
              <w:bottom w:val="single" w:sz="4" w:space="0" w:color="auto"/>
              <w:right w:val="single" w:sz="4" w:space="0" w:color="auto"/>
            </w:tcBorders>
            <w:shd w:val="clear" w:color="auto" w:fill="auto"/>
            <w:noWrap/>
            <w:hideMark/>
          </w:tcPr>
          <w:p w14:paraId="3EA1A8CA" w14:textId="2CE981B0" w:rsidR="00FA2E3E" w:rsidRPr="00FA2E3E" w:rsidRDefault="0062217F" w:rsidP="00FA2E3E">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2</m:t>
                    </m:r>
                  </m:sub>
                </m:sSub>
              </m:oMath>
            </m:oMathPara>
          </w:p>
        </w:tc>
        <w:tc>
          <w:tcPr>
            <w:tcW w:w="1240" w:type="dxa"/>
            <w:tcBorders>
              <w:top w:val="nil"/>
              <w:left w:val="nil"/>
              <w:bottom w:val="single" w:sz="4" w:space="0" w:color="auto"/>
              <w:right w:val="single" w:sz="4" w:space="0" w:color="auto"/>
            </w:tcBorders>
            <w:shd w:val="clear" w:color="auto" w:fill="auto"/>
            <w:noWrap/>
            <w:vAlign w:val="bottom"/>
            <w:hideMark/>
          </w:tcPr>
          <w:p w14:paraId="5AD52473"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-0.0011</w:t>
            </w:r>
          </w:p>
        </w:tc>
        <w:tc>
          <w:tcPr>
            <w:tcW w:w="1240" w:type="dxa"/>
            <w:tcBorders>
              <w:top w:val="nil"/>
              <w:left w:val="nil"/>
              <w:bottom w:val="single" w:sz="4" w:space="0" w:color="auto"/>
              <w:right w:val="single" w:sz="4" w:space="0" w:color="auto"/>
            </w:tcBorders>
            <w:shd w:val="clear" w:color="auto" w:fill="auto"/>
            <w:noWrap/>
            <w:vAlign w:val="bottom"/>
            <w:hideMark/>
          </w:tcPr>
          <w:p w14:paraId="3DE42C2A"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0.0018</w:t>
            </w:r>
          </w:p>
        </w:tc>
        <w:tc>
          <w:tcPr>
            <w:tcW w:w="1240" w:type="dxa"/>
            <w:tcBorders>
              <w:top w:val="nil"/>
              <w:left w:val="nil"/>
              <w:bottom w:val="single" w:sz="4" w:space="0" w:color="auto"/>
              <w:right w:val="single" w:sz="4" w:space="0" w:color="auto"/>
            </w:tcBorders>
            <w:shd w:val="clear" w:color="auto" w:fill="auto"/>
            <w:noWrap/>
            <w:vAlign w:val="bottom"/>
            <w:hideMark/>
          </w:tcPr>
          <w:p w14:paraId="757F1FAC"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-0.62</w:t>
            </w:r>
          </w:p>
        </w:tc>
        <w:tc>
          <w:tcPr>
            <w:tcW w:w="1240" w:type="dxa"/>
            <w:tcBorders>
              <w:top w:val="nil"/>
              <w:left w:val="nil"/>
              <w:bottom w:val="single" w:sz="4" w:space="0" w:color="auto"/>
              <w:right w:val="single" w:sz="4" w:space="0" w:color="auto"/>
            </w:tcBorders>
            <w:shd w:val="clear" w:color="auto" w:fill="auto"/>
            <w:noWrap/>
            <w:vAlign w:val="bottom"/>
            <w:hideMark/>
          </w:tcPr>
          <w:p w14:paraId="28EEF036"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0.532</w:t>
            </w:r>
          </w:p>
        </w:tc>
        <w:tc>
          <w:tcPr>
            <w:tcW w:w="1301" w:type="dxa"/>
            <w:tcBorders>
              <w:top w:val="nil"/>
              <w:left w:val="nil"/>
              <w:bottom w:val="single" w:sz="4" w:space="0" w:color="auto"/>
              <w:right w:val="single" w:sz="4" w:space="0" w:color="auto"/>
            </w:tcBorders>
            <w:shd w:val="clear" w:color="auto" w:fill="auto"/>
            <w:noWrap/>
            <w:vAlign w:val="bottom"/>
            <w:hideMark/>
          </w:tcPr>
          <w:p w14:paraId="718222A7"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-0.0047</w:t>
            </w:r>
          </w:p>
        </w:tc>
        <w:tc>
          <w:tcPr>
            <w:tcW w:w="1179" w:type="dxa"/>
            <w:tcBorders>
              <w:top w:val="nil"/>
              <w:left w:val="nil"/>
              <w:bottom w:val="single" w:sz="4" w:space="0" w:color="auto"/>
              <w:right w:val="single" w:sz="4" w:space="0" w:color="auto"/>
            </w:tcBorders>
            <w:shd w:val="clear" w:color="auto" w:fill="auto"/>
            <w:noWrap/>
            <w:vAlign w:val="bottom"/>
            <w:hideMark/>
          </w:tcPr>
          <w:p w14:paraId="2878551C"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0.0024</w:t>
            </w:r>
          </w:p>
        </w:tc>
      </w:tr>
      <w:tr w:rsidR="00FA2E3E" w:rsidRPr="00AF5A5E" w14:paraId="1C068DBB" w14:textId="77777777" w:rsidTr="001D301C">
        <w:trPr>
          <w:trHeight w:val="288"/>
        </w:trPr>
        <w:tc>
          <w:tcPr>
            <w:tcW w:w="1800" w:type="dxa"/>
            <w:tcBorders>
              <w:top w:val="nil"/>
              <w:left w:val="single" w:sz="4" w:space="0" w:color="auto"/>
              <w:bottom w:val="single" w:sz="4" w:space="0" w:color="auto"/>
              <w:right w:val="single" w:sz="4" w:space="0" w:color="auto"/>
            </w:tcBorders>
            <w:shd w:val="clear" w:color="auto" w:fill="auto"/>
            <w:noWrap/>
            <w:hideMark/>
          </w:tcPr>
          <w:p w14:paraId="7C150DDE" w14:textId="59DA39B2" w:rsidR="00FA2E3E" w:rsidRPr="00FA2E3E" w:rsidRDefault="0062217F" w:rsidP="00FA2E3E">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3</m:t>
                    </m:r>
                  </m:sub>
                </m:sSub>
              </m:oMath>
            </m:oMathPara>
          </w:p>
        </w:tc>
        <w:tc>
          <w:tcPr>
            <w:tcW w:w="1240" w:type="dxa"/>
            <w:tcBorders>
              <w:top w:val="nil"/>
              <w:left w:val="nil"/>
              <w:bottom w:val="single" w:sz="4" w:space="0" w:color="auto"/>
              <w:right w:val="single" w:sz="4" w:space="0" w:color="auto"/>
            </w:tcBorders>
            <w:shd w:val="clear" w:color="auto" w:fill="auto"/>
            <w:noWrap/>
            <w:vAlign w:val="bottom"/>
            <w:hideMark/>
          </w:tcPr>
          <w:p w14:paraId="4EC1FBE7"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0.0011</w:t>
            </w:r>
          </w:p>
        </w:tc>
        <w:tc>
          <w:tcPr>
            <w:tcW w:w="1240" w:type="dxa"/>
            <w:tcBorders>
              <w:top w:val="nil"/>
              <w:left w:val="nil"/>
              <w:bottom w:val="single" w:sz="4" w:space="0" w:color="auto"/>
              <w:right w:val="single" w:sz="4" w:space="0" w:color="auto"/>
            </w:tcBorders>
            <w:shd w:val="clear" w:color="auto" w:fill="auto"/>
            <w:noWrap/>
            <w:vAlign w:val="bottom"/>
            <w:hideMark/>
          </w:tcPr>
          <w:p w14:paraId="02E9A94F"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0.0011</w:t>
            </w:r>
          </w:p>
        </w:tc>
        <w:tc>
          <w:tcPr>
            <w:tcW w:w="1240" w:type="dxa"/>
            <w:tcBorders>
              <w:top w:val="nil"/>
              <w:left w:val="nil"/>
              <w:bottom w:val="single" w:sz="4" w:space="0" w:color="auto"/>
              <w:right w:val="single" w:sz="4" w:space="0" w:color="auto"/>
            </w:tcBorders>
            <w:shd w:val="clear" w:color="auto" w:fill="auto"/>
            <w:noWrap/>
            <w:vAlign w:val="bottom"/>
            <w:hideMark/>
          </w:tcPr>
          <w:p w14:paraId="5910EDC0"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1.03</w:t>
            </w:r>
          </w:p>
        </w:tc>
        <w:tc>
          <w:tcPr>
            <w:tcW w:w="1240" w:type="dxa"/>
            <w:tcBorders>
              <w:top w:val="nil"/>
              <w:left w:val="nil"/>
              <w:bottom w:val="single" w:sz="4" w:space="0" w:color="auto"/>
              <w:right w:val="single" w:sz="4" w:space="0" w:color="auto"/>
            </w:tcBorders>
            <w:shd w:val="clear" w:color="auto" w:fill="auto"/>
            <w:noWrap/>
            <w:vAlign w:val="bottom"/>
            <w:hideMark/>
          </w:tcPr>
          <w:p w14:paraId="797DC57A"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0.303</w:t>
            </w:r>
          </w:p>
        </w:tc>
        <w:tc>
          <w:tcPr>
            <w:tcW w:w="1301" w:type="dxa"/>
            <w:tcBorders>
              <w:top w:val="nil"/>
              <w:left w:val="nil"/>
              <w:bottom w:val="single" w:sz="4" w:space="0" w:color="auto"/>
              <w:right w:val="single" w:sz="4" w:space="0" w:color="auto"/>
            </w:tcBorders>
            <w:shd w:val="clear" w:color="auto" w:fill="auto"/>
            <w:noWrap/>
            <w:vAlign w:val="bottom"/>
            <w:hideMark/>
          </w:tcPr>
          <w:p w14:paraId="690DCB49"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-0.0010</w:t>
            </w:r>
          </w:p>
        </w:tc>
        <w:tc>
          <w:tcPr>
            <w:tcW w:w="1179" w:type="dxa"/>
            <w:tcBorders>
              <w:top w:val="nil"/>
              <w:left w:val="nil"/>
              <w:bottom w:val="single" w:sz="4" w:space="0" w:color="auto"/>
              <w:right w:val="single" w:sz="4" w:space="0" w:color="auto"/>
            </w:tcBorders>
            <w:shd w:val="clear" w:color="auto" w:fill="auto"/>
            <w:noWrap/>
            <w:vAlign w:val="bottom"/>
            <w:hideMark/>
          </w:tcPr>
          <w:p w14:paraId="513C93FF"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0.0032</w:t>
            </w:r>
          </w:p>
        </w:tc>
      </w:tr>
      <w:tr w:rsidR="00FA2E3E" w:rsidRPr="00AF5A5E" w14:paraId="161B721C" w14:textId="77777777" w:rsidTr="001D301C">
        <w:trPr>
          <w:trHeight w:val="288"/>
        </w:trPr>
        <w:tc>
          <w:tcPr>
            <w:tcW w:w="1800" w:type="dxa"/>
            <w:tcBorders>
              <w:top w:val="nil"/>
              <w:left w:val="single" w:sz="4" w:space="0" w:color="auto"/>
              <w:bottom w:val="single" w:sz="4" w:space="0" w:color="auto"/>
              <w:right w:val="single" w:sz="4" w:space="0" w:color="auto"/>
            </w:tcBorders>
            <w:shd w:val="clear" w:color="auto" w:fill="auto"/>
            <w:noWrap/>
            <w:hideMark/>
          </w:tcPr>
          <w:p w14:paraId="42780E95" w14:textId="07E23D7C" w:rsidR="00FA2E3E" w:rsidRPr="00FA2E3E" w:rsidRDefault="0062217F" w:rsidP="00FA2E3E">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4</m:t>
                    </m:r>
                  </m:sub>
                </m:sSub>
              </m:oMath>
            </m:oMathPara>
          </w:p>
        </w:tc>
        <w:tc>
          <w:tcPr>
            <w:tcW w:w="1240" w:type="dxa"/>
            <w:tcBorders>
              <w:top w:val="nil"/>
              <w:left w:val="nil"/>
              <w:bottom w:val="single" w:sz="4" w:space="0" w:color="auto"/>
              <w:right w:val="single" w:sz="4" w:space="0" w:color="auto"/>
            </w:tcBorders>
            <w:shd w:val="clear" w:color="auto" w:fill="auto"/>
            <w:noWrap/>
            <w:vAlign w:val="bottom"/>
            <w:hideMark/>
          </w:tcPr>
          <w:p w14:paraId="12D44731"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0.0022</w:t>
            </w:r>
          </w:p>
        </w:tc>
        <w:tc>
          <w:tcPr>
            <w:tcW w:w="1240" w:type="dxa"/>
            <w:tcBorders>
              <w:top w:val="nil"/>
              <w:left w:val="nil"/>
              <w:bottom w:val="single" w:sz="4" w:space="0" w:color="auto"/>
              <w:right w:val="single" w:sz="4" w:space="0" w:color="auto"/>
            </w:tcBorders>
            <w:shd w:val="clear" w:color="auto" w:fill="auto"/>
            <w:noWrap/>
            <w:vAlign w:val="bottom"/>
            <w:hideMark/>
          </w:tcPr>
          <w:p w14:paraId="74BBED34"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0.0016</w:t>
            </w:r>
          </w:p>
        </w:tc>
        <w:tc>
          <w:tcPr>
            <w:tcW w:w="1240" w:type="dxa"/>
            <w:tcBorders>
              <w:top w:val="nil"/>
              <w:left w:val="nil"/>
              <w:bottom w:val="single" w:sz="4" w:space="0" w:color="auto"/>
              <w:right w:val="single" w:sz="4" w:space="0" w:color="auto"/>
            </w:tcBorders>
            <w:shd w:val="clear" w:color="auto" w:fill="auto"/>
            <w:noWrap/>
            <w:vAlign w:val="bottom"/>
            <w:hideMark/>
          </w:tcPr>
          <w:p w14:paraId="6887CBE4"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1.41</w:t>
            </w:r>
          </w:p>
        </w:tc>
        <w:tc>
          <w:tcPr>
            <w:tcW w:w="1240" w:type="dxa"/>
            <w:tcBorders>
              <w:top w:val="nil"/>
              <w:left w:val="nil"/>
              <w:bottom w:val="single" w:sz="4" w:space="0" w:color="auto"/>
              <w:right w:val="single" w:sz="4" w:space="0" w:color="auto"/>
            </w:tcBorders>
            <w:shd w:val="clear" w:color="auto" w:fill="auto"/>
            <w:noWrap/>
            <w:vAlign w:val="bottom"/>
            <w:hideMark/>
          </w:tcPr>
          <w:p w14:paraId="3CA5C82A"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0.158</w:t>
            </w:r>
          </w:p>
        </w:tc>
        <w:tc>
          <w:tcPr>
            <w:tcW w:w="1301" w:type="dxa"/>
            <w:tcBorders>
              <w:top w:val="nil"/>
              <w:left w:val="nil"/>
              <w:bottom w:val="single" w:sz="4" w:space="0" w:color="auto"/>
              <w:right w:val="single" w:sz="4" w:space="0" w:color="auto"/>
            </w:tcBorders>
            <w:shd w:val="clear" w:color="auto" w:fill="auto"/>
            <w:noWrap/>
            <w:vAlign w:val="bottom"/>
            <w:hideMark/>
          </w:tcPr>
          <w:p w14:paraId="3EFCC109"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-0.0009</w:t>
            </w:r>
          </w:p>
        </w:tc>
        <w:tc>
          <w:tcPr>
            <w:tcW w:w="1179" w:type="dxa"/>
            <w:tcBorders>
              <w:top w:val="nil"/>
              <w:left w:val="nil"/>
              <w:bottom w:val="single" w:sz="4" w:space="0" w:color="auto"/>
              <w:right w:val="single" w:sz="4" w:space="0" w:color="auto"/>
            </w:tcBorders>
            <w:shd w:val="clear" w:color="auto" w:fill="auto"/>
            <w:noWrap/>
            <w:vAlign w:val="bottom"/>
            <w:hideMark/>
          </w:tcPr>
          <w:p w14:paraId="01863E94"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0.0053</w:t>
            </w:r>
          </w:p>
        </w:tc>
      </w:tr>
      <w:tr w:rsidR="00FA2E3E" w:rsidRPr="00AF5A5E" w14:paraId="504D415B" w14:textId="77777777" w:rsidTr="001D301C">
        <w:trPr>
          <w:trHeight w:val="288"/>
        </w:trPr>
        <w:tc>
          <w:tcPr>
            <w:tcW w:w="1800" w:type="dxa"/>
            <w:tcBorders>
              <w:top w:val="nil"/>
              <w:left w:val="single" w:sz="4" w:space="0" w:color="auto"/>
              <w:bottom w:val="single" w:sz="4" w:space="0" w:color="auto"/>
              <w:right w:val="single" w:sz="4" w:space="0" w:color="auto"/>
            </w:tcBorders>
            <w:shd w:val="clear" w:color="auto" w:fill="auto"/>
            <w:noWrap/>
            <w:hideMark/>
          </w:tcPr>
          <w:p w14:paraId="35F55472" w14:textId="54E472D5" w:rsidR="00FA2E3E" w:rsidRPr="00FA2E3E" w:rsidRDefault="0062217F" w:rsidP="00FA2E3E">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5</m:t>
                    </m:r>
                  </m:sub>
                </m:sSub>
              </m:oMath>
            </m:oMathPara>
          </w:p>
        </w:tc>
        <w:tc>
          <w:tcPr>
            <w:tcW w:w="1240" w:type="dxa"/>
            <w:tcBorders>
              <w:top w:val="nil"/>
              <w:left w:val="nil"/>
              <w:bottom w:val="single" w:sz="4" w:space="0" w:color="auto"/>
              <w:right w:val="single" w:sz="4" w:space="0" w:color="auto"/>
            </w:tcBorders>
            <w:shd w:val="clear" w:color="auto" w:fill="auto"/>
            <w:noWrap/>
            <w:vAlign w:val="bottom"/>
            <w:hideMark/>
          </w:tcPr>
          <w:p w14:paraId="1FB56834"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0.0002</w:t>
            </w:r>
          </w:p>
        </w:tc>
        <w:tc>
          <w:tcPr>
            <w:tcW w:w="1240" w:type="dxa"/>
            <w:tcBorders>
              <w:top w:val="nil"/>
              <w:left w:val="nil"/>
              <w:bottom w:val="single" w:sz="4" w:space="0" w:color="auto"/>
              <w:right w:val="single" w:sz="4" w:space="0" w:color="auto"/>
            </w:tcBorders>
            <w:shd w:val="clear" w:color="auto" w:fill="auto"/>
            <w:noWrap/>
            <w:vAlign w:val="bottom"/>
            <w:hideMark/>
          </w:tcPr>
          <w:p w14:paraId="0D6B5954"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0.0017</w:t>
            </w:r>
          </w:p>
        </w:tc>
        <w:tc>
          <w:tcPr>
            <w:tcW w:w="1240" w:type="dxa"/>
            <w:tcBorders>
              <w:top w:val="nil"/>
              <w:left w:val="nil"/>
              <w:bottom w:val="single" w:sz="4" w:space="0" w:color="auto"/>
              <w:right w:val="single" w:sz="4" w:space="0" w:color="auto"/>
            </w:tcBorders>
            <w:shd w:val="clear" w:color="auto" w:fill="auto"/>
            <w:noWrap/>
            <w:vAlign w:val="bottom"/>
            <w:hideMark/>
          </w:tcPr>
          <w:p w14:paraId="6A4E9519"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0.1</w:t>
            </w:r>
          </w:p>
        </w:tc>
        <w:tc>
          <w:tcPr>
            <w:tcW w:w="1240" w:type="dxa"/>
            <w:tcBorders>
              <w:top w:val="nil"/>
              <w:left w:val="nil"/>
              <w:bottom w:val="single" w:sz="4" w:space="0" w:color="auto"/>
              <w:right w:val="single" w:sz="4" w:space="0" w:color="auto"/>
            </w:tcBorders>
            <w:shd w:val="clear" w:color="auto" w:fill="auto"/>
            <w:noWrap/>
            <w:vAlign w:val="bottom"/>
            <w:hideMark/>
          </w:tcPr>
          <w:p w14:paraId="63BAD904"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0.919</w:t>
            </w:r>
          </w:p>
        </w:tc>
        <w:tc>
          <w:tcPr>
            <w:tcW w:w="1301" w:type="dxa"/>
            <w:tcBorders>
              <w:top w:val="nil"/>
              <w:left w:val="nil"/>
              <w:bottom w:val="single" w:sz="4" w:space="0" w:color="auto"/>
              <w:right w:val="single" w:sz="4" w:space="0" w:color="auto"/>
            </w:tcBorders>
            <w:shd w:val="clear" w:color="auto" w:fill="auto"/>
            <w:noWrap/>
            <w:vAlign w:val="bottom"/>
            <w:hideMark/>
          </w:tcPr>
          <w:p w14:paraId="12244EBD"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-0.0032</w:t>
            </w:r>
          </w:p>
        </w:tc>
        <w:tc>
          <w:tcPr>
            <w:tcW w:w="1179" w:type="dxa"/>
            <w:tcBorders>
              <w:top w:val="nil"/>
              <w:left w:val="nil"/>
              <w:bottom w:val="single" w:sz="4" w:space="0" w:color="auto"/>
              <w:right w:val="single" w:sz="4" w:space="0" w:color="auto"/>
            </w:tcBorders>
            <w:shd w:val="clear" w:color="auto" w:fill="auto"/>
            <w:noWrap/>
            <w:vAlign w:val="bottom"/>
            <w:hideMark/>
          </w:tcPr>
          <w:p w14:paraId="15ED6BCC"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0.0036</w:t>
            </w:r>
          </w:p>
        </w:tc>
      </w:tr>
      <w:tr w:rsidR="00FA2E3E" w:rsidRPr="00AF5A5E" w14:paraId="72EC0920" w14:textId="77777777" w:rsidTr="001D301C">
        <w:trPr>
          <w:trHeight w:val="288"/>
        </w:trPr>
        <w:tc>
          <w:tcPr>
            <w:tcW w:w="1800" w:type="dxa"/>
            <w:tcBorders>
              <w:top w:val="nil"/>
              <w:left w:val="single" w:sz="4" w:space="0" w:color="auto"/>
              <w:bottom w:val="single" w:sz="4" w:space="0" w:color="auto"/>
              <w:right w:val="single" w:sz="4" w:space="0" w:color="auto"/>
            </w:tcBorders>
            <w:shd w:val="clear" w:color="auto" w:fill="auto"/>
            <w:noWrap/>
            <w:hideMark/>
          </w:tcPr>
          <w:p w14:paraId="3ED12E81" w14:textId="00546408" w:rsidR="00FA2E3E" w:rsidRPr="00FA2E3E" w:rsidRDefault="0062217F" w:rsidP="00FA2E3E">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6</m:t>
                    </m:r>
                  </m:sub>
                </m:sSub>
              </m:oMath>
            </m:oMathPara>
          </w:p>
        </w:tc>
        <w:tc>
          <w:tcPr>
            <w:tcW w:w="1240" w:type="dxa"/>
            <w:tcBorders>
              <w:top w:val="nil"/>
              <w:left w:val="nil"/>
              <w:bottom w:val="single" w:sz="4" w:space="0" w:color="auto"/>
              <w:right w:val="single" w:sz="4" w:space="0" w:color="auto"/>
            </w:tcBorders>
            <w:shd w:val="clear" w:color="auto" w:fill="auto"/>
            <w:noWrap/>
            <w:vAlign w:val="bottom"/>
            <w:hideMark/>
          </w:tcPr>
          <w:p w14:paraId="79F1DAA9"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-0.0014</w:t>
            </w:r>
          </w:p>
        </w:tc>
        <w:tc>
          <w:tcPr>
            <w:tcW w:w="1240" w:type="dxa"/>
            <w:tcBorders>
              <w:top w:val="nil"/>
              <w:left w:val="nil"/>
              <w:bottom w:val="single" w:sz="4" w:space="0" w:color="auto"/>
              <w:right w:val="single" w:sz="4" w:space="0" w:color="auto"/>
            </w:tcBorders>
            <w:shd w:val="clear" w:color="auto" w:fill="auto"/>
            <w:noWrap/>
            <w:vAlign w:val="bottom"/>
            <w:hideMark/>
          </w:tcPr>
          <w:p w14:paraId="4E5E7064"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0.0017</w:t>
            </w:r>
          </w:p>
        </w:tc>
        <w:tc>
          <w:tcPr>
            <w:tcW w:w="1240" w:type="dxa"/>
            <w:tcBorders>
              <w:top w:val="nil"/>
              <w:left w:val="nil"/>
              <w:bottom w:val="single" w:sz="4" w:space="0" w:color="auto"/>
              <w:right w:val="single" w:sz="4" w:space="0" w:color="auto"/>
            </w:tcBorders>
            <w:shd w:val="clear" w:color="auto" w:fill="auto"/>
            <w:noWrap/>
            <w:vAlign w:val="bottom"/>
            <w:hideMark/>
          </w:tcPr>
          <w:p w14:paraId="180A94DB"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-0.83</w:t>
            </w:r>
          </w:p>
        </w:tc>
        <w:tc>
          <w:tcPr>
            <w:tcW w:w="1240" w:type="dxa"/>
            <w:tcBorders>
              <w:top w:val="nil"/>
              <w:left w:val="nil"/>
              <w:bottom w:val="single" w:sz="4" w:space="0" w:color="auto"/>
              <w:right w:val="single" w:sz="4" w:space="0" w:color="auto"/>
            </w:tcBorders>
            <w:shd w:val="clear" w:color="auto" w:fill="auto"/>
            <w:noWrap/>
            <w:vAlign w:val="bottom"/>
            <w:hideMark/>
          </w:tcPr>
          <w:p w14:paraId="68FD57F1"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0.407</w:t>
            </w:r>
          </w:p>
        </w:tc>
        <w:tc>
          <w:tcPr>
            <w:tcW w:w="1301" w:type="dxa"/>
            <w:tcBorders>
              <w:top w:val="nil"/>
              <w:left w:val="nil"/>
              <w:bottom w:val="single" w:sz="4" w:space="0" w:color="auto"/>
              <w:right w:val="single" w:sz="4" w:space="0" w:color="auto"/>
            </w:tcBorders>
            <w:shd w:val="clear" w:color="auto" w:fill="auto"/>
            <w:noWrap/>
            <w:vAlign w:val="bottom"/>
            <w:hideMark/>
          </w:tcPr>
          <w:p w14:paraId="5A23B634"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-0.0047</w:t>
            </w:r>
          </w:p>
        </w:tc>
        <w:tc>
          <w:tcPr>
            <w:tcW w:w="1179" w:type="dxa"/>
            <w:tcBorders>
              <w:top w:val="nil"/>
              <w:left w:val="nil"/>
              <w:bottom w:val="single" w:sz="4" w:space="0" w:color="auto"/>
              <w:right w:val="single" w:sz="4" w:space="0" w:color="auto"/>
            </w:tcBorders>
            <w:shd w:val="clear" w:color="auto" w:fill="auto"/>
            <w:noWrap/>
            <w:vAlign w:val="bottom"/>
            <w:hideMark/>
          </w:tcPr>
          <w:p w14:paraId="2711DA2F" w14:textId="77777777" w:rsidR="00FA2E3E" w:rsidRPr="00AF5A5E" w:rsidRDefault="00FA2E3E" w:rsidP="00FA2E3E">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0.0019</w:t>
            </w:r>
          </w:p>
        </w:tc>
      </w:tr>
      <w:tr w:rsidR="00547D4C" w:rsidRPr="00AF5A5E" w14:paraId="6709EF87" w14:textId="77777777" w:rsidTr="00545577">
        <w:trPr>
          <w:trHeight w:val="28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26F879" w14:textId="5CD1E743" w:rsidR="00547D4C" w:rsidRPr="00AF5A5E" w:rsidRDefault="00547D4C" w:rsidP="00545577">
            <w:pPr>
              <w:spacing w:after="0" w:line="240" w:lineRule="auto"/>
              <w:rPr>
                <w:rFonts w:ascii="Calibri" w:eastAsia="Times New Roman" w:hAnsi="Calibri" w:cs="Calibri"/>
                <w:color w:val="000000"/>
                <w:lang w:val="es-CL" w:eastAsia="es-CL"/>
              </w:rPr>
            </w:pPr>
            <w:r w:rsidRPr="00522401">
              <w:rPr>
                <w:rFonts w:ascii="Calibri" w:eastAsia="Times New Roman" w:hAnsi="Calibri" w:cs="Calibri"/>
                <w:color w:val="000000"/>
                <w:lang w:val="es-CL" w:eastAsia="es-CL"/>
              </w:rPr>
              <w:t>Chile</w:t>
            </w:r>
            <w:r w:rsidR="00B60A3D">
              <w:rPr>
                <w:rFonts w:ascii="Calibri" w:eastAsia="Times New Roman" w:hAnsi="Calibri" w:cs="Calibri"/>
                <w:color w:val="000000"/>
                <w:lang w:val="es-CL" w:eastAsia="es-CL"/>
              </w:rPr>
              <w:t xml:space="preserve"> I</w:t>
            </w:r>
            <w:r w:rsidR="00B60A3D" w:rsidRPr="00AF5A5E">
              <w:rPr>
                <w:rFonts w:ascii="Calibri" w:eastAsia="Times New Roman" w:hAnsi="Calibri" w:cs="Calibri"/>
                <w:color w:val="000000"/>
                <w:lang w:val="es-CL" w:eastAsia="es-CL"/>
              </w:rPr>
              <w:t>nf</w:t>
            </w:r>
            <w:r w:rsidR="00B60A3D">
              <w:rPr>
                <w:rFonts w:ascii="Calibri" w:eastAsia="Times New Roman" w:hAnsi="Calibri" w:cs="Calibri"/>
                <w:color w:val="000000"/>
                <w:lang w:val="es-CL" w:eastAsia="es-CL"/>
              </w:rPr>
              <w:t>.</w:t>
            </w:r>
            <w:r w:rsidRPr="00522401">
              <w:rPr>
                <w:rFonts w:ascii="Calibri" w:eastAsia="Times New Roman" w:hAnsi="Calibri" w:cs="Calibri"/>
                <w:color w:val="000000"/>
                <w:lang w:val="es-CL" w:eastAsia="es-CL"/>
              </w:rPr>
              <w:t xml:space="preserve"> </w:t>
            </w:r>
            <m:oMath>
              <m:sSub>
                <m:sSubPr>
                  <m:ctrlPr>
                    <w:rPr>
                      <w:rFonts w:ascii="Cambria Math" w:eastAsia="Times New Roman" w:hAnsi="Cambria Math" w:cs="Calibri"/>
                      <w:iCs/>
                      <w:color w:val="000000"/>
                    </w:rPr>
                  </m:ctrlPr>
                </m:sSubPr>
                <m:e>
                  <m:r>
                    <m:rPr>
                      <m:sty m:val="p"/>
                    </m:rPr>
                    <w:rPr>
                      <w:rFonts w:ascii="Cambria Math" w:eastAsia="Times New Roman" w:hAnsi="Cambria Math" w:cs="Calibri"/>
                      <w:color w:val="000000"/>
                    </w:rPr>
                    <m:t>L</m:t>
                  </m:r>
                </m:e>
                <m:sub>
                  <m:r>
                    <m:rPr>
                      <m:sty m:val="p"/>
                    </m:rPr>
                    <w:rPr>
                      <w:rFonts w:ascii="Cambria Math" w:eastAsia="Times New Roman" w:hAnsi="Cambria Math" w:cs="Calibri"/>
                      <w:color w:val="000000"/>
                    </w:rPr>
                    <m:t>1</m:t>
                  </m:r>
                </m:sub>
              </m:sSub>
            </m:oMath>
          </w:p>
        </w:tc>
        <w:tc>
          <w:tcPr>
            <w:tcW w:w="1240" w:type="dxa"/>
            <w:tcBorders>
              <w:top w:val="nil"/>
              <w:left w:val="nil"/>
              <w:bottom w:val="single" w:sz="4" w:space="0" w:color="auto"/>
              <w:right w:val="single" w:sz="4" w:space="0" w:color="auto"/>
            </w:tcBorders>
            <w:shd w:val="clear" w:color="auto" w:fill="auto"/>
            <w:noWrap/>
            <w:vAlign w:val="bottom"/>
            <w:hideMark/>
          </w:tcPr>
          <w:p w14:paraId="461730DE"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0.3290</w:t>
            </w:r>
          </w:p>
        </w:tc>
        <w:tc>
          <w:tcPr>
            <w:tcW w:w="1240" w:type="dxa"/>
            <w:tcBorders>
              <w:top w:val="nil"/>
              <w:left w:val="nil"/>
              <w:bottom w:val="single" w:sz="4" w:space="0" w:color="auto"/>
              <w:right w:val="single" w:sz="4" w:space="0" w:color="auto"/>
            </w:tcBorders>
            <w:shd w:val="clear" w:color="auto" w:fill="auto"/>
            <w:noWrap/>
            <w:vAlign w:val="bottom"/>
            <w:hideMark/>
          </w:tcPr>
          <w:p w14:paraId="02BA989B"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0.0712</w:t>
            </w:r>
          </w:p>
        </w:tc>
        <w:tc>
          <w:tcPr>
            <w:tcW w:w="1240" w:type="dxa"/>
            <w:tcBorders>
              <w:top w:val="nil"/>
              <w:left w:val="nil"/>
              <w:bottom w:val="single" w:sz="4" w:space="0" w:color="auto"/>
              <w:right w:val="single" w:sz="4" w:space="0" w:color="auto"/>
            </w:tcBorders>
            <w:shd w:val="clear" w:color="auto" w:fill="auto"/>
            <w:noWrap/>
            <w:vAlign w:val="bottom"/>
            <w:hideMark/>
          </w:tcPr>
          <w:p w14:paraId="4B7D319F"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4.62</w:t>
            </w:r>
          </w:p>
        </w:tc>
        <w:tc>
          <w:tcPr>
            <w:tcW w:w="1240" w:type="dxa"/>
            <w:tcBorders>
              <w:top w:val="nil"/>
              <w:left w:val="nil"/>
              <w:bottom w:val="single" w:sz="4" w:space="0" w:color="auto"/>
              <w:right w:val="single" w:sz="4" w:space="0" w:color="auto"/>
            </w:tcBorders>
            <w:shd w:val="clear" w:color="auto" w:fill="auto"/>
            <w:noWrap/>
            <w:vAlign w:val="bottom"/>
            <w:hideMark/>
          </w:tcPr>
          <w:p w14:paraId="1CE58D43"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w:t>
            </w:r>
          </w:p>
        </w:tc>
        <w:tc>
          <w:tcPr>
            <w:tcW w:w="1301" w:type="dxa"/>
            <w:tcBorders>
              <w:top w:val="nil"/>
              <w:left w:val="nil"/>
              <w:bottom w:val="single" w:sz="4" w:space="0" w:color="auto"/>
              <w:right w:val="single" w:sz="4" w:space="0" w:color="auto"/>
            </w:tcBorders>
            <w:shd w:val="clear" w:color="auto" w:fill="auto"/>
            <w:noWrap/>
            <w:vAlign w:val="bottom"/>
            <w:hideMark/>
          </w:tcPr>
          <w:p w14:paraId="2D690E6B"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0.1895</w:t>
            </w:r>
          </w:p>
        </w:tc>
        <w:tc>
          <w:tcPr>
            <w:tcW w:w="1179" w:type="dxa"/>
            <w:tcBorders>
              <w:top w:val="nil"/>
              <w:left w:val="nil"/>
              <w:bottom w:val="single" w:sz="4" w:space="0" w:color="auto"/>
              <w:right w:val="single" w:sz="4" w:space="0" w:color="auto"/>
            </w:tcBorders>
            <w:shd w:val="clear" w:color="auto" w:fill="auto"/>
            <w:noWrap/>
            <w:vAlign w:val="bottom"/>
            <w:hideMark/>
          </w:tcPr>
          <w:p w14:paraId="325AF8DC"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0.4685</w:t>
            </w:r>
          </w:p>
        </w:tc>
      </w:tr>
      <w:tr w:rsidR="00547D4C" w:rsidRPr="00AF5A5E" w14:paraId="4121B4C7" w14:textId="77777777" w:rsidTr="00545577">
        <w:trPr>
          <w:trHeight w:val="28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37058F" w14:textId="7F8D5743" w:rsidR="00547D4C" w:rsidRPr="00AF5A5E" w:rsidRDefault="00B60A3D" w:rsidP="00545577">
            <w:pPr>
              <w:spacing w:after="0" w:line="240" w:lineRule="auto"/>
              <w:rPr>
                <w:rFonts w:ascii="Calibri" w:eastAsia="Times New Roman" w:hAnsi="Calibri" w:cs="Calibri"/>
                <w:color w:val="000000"/>
                <w:lang w:val="es-CL" w:eastAsia="es-CL"/>
              </w:rPr>
            </w:pPr>
            <m:oMath>
              <m:r>
                <w:rPr>
                  <w:rFonts w:ascii="Cambria Math" w:eastAsia="Times New Roman" w:hAnsi="Cambria Math" w:cs="Calibri"/>
                  <w:color w:val="000000"/>
                  <w:lang w:val="es-CL" w:eastAsia="es-CL"/>
                </w:rPr>
                <m:t>∆</m:t>
              </m:r>
            </m:oMath>
            <w:r w:rsidR="00547D4C" w:rsidRPr="00AF5A5E">
              <w:rPr>
                <w:rFonts w:ascii="Calibri" w:eastAsia="Times New Roman" w:hAnsi="Calibri" w:cs="Calibri"/>
                <w:color w:val="000000"/>
                <w:lang w:val="es-CL" w:eastAsia="es-CL"/>
              </w:rPr>
              <w:t>IMACEC</w:t>
            </w:r>
          </w:p>
        </w:tc>
        <w:tc>
          <w:tcPr>
            <w:tcW w:w="1240" w:type="dxa"/>
            <w:tcBorders>
              <w:top w:val="nil"/>
              <w:left w:val="nil"/>
              <w:bottom w:val="single" w:sz="4" w:space="0" w:color="auto"/>
              <w:right w:val="single" w:sz="4" w:space="0" w:color="auto"/>
            </w:tcBorders>
            <w:shd w:val="clear" w:color="auto" w:fill="auto"/>
            <w:noWrap/>
            <w:vAlign w:val="bottom"/>
            <w:hideMark/>
          </w:tcPr>
          <w:p w14:paraId="70DCE78F"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0.0054</w:t>
            </w:r>
          </w:p>
        </w:tc>
        <w:tc>
          <w:tcPr>
            <w:tcW w:w="1240" w:type="dxa"/>
            <w:tcBorders>
              <w:top w:val="nil"/>
              <w:left w:val="nil"/>
              <w:bottom w:val="single" w:sz="4" w:space="0" w:color="auto"/>
              <w:right w:val="single" w:sz="4" w:space="0" w:color="auto"/>
            </w:tcBorders>
            <w:shd w:val="clear" w:color="auto" w:fill="auto"/>
            <w:noWrap/>
            <w:vAlign w:val="bottom"/>
            <w:hideMark/>
          </w:tcPr>
          <w:p w14:paraId="65AC4406"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0.0049</w:t>
            </w:r>
          </w:p>
        </w:tc>
        <w:tc>
          <w:tcPr>
            <w:tcW w:w="1240" w:type="dxa"/>
            <w:tcBorders>
              <w:top w:val="nil"/>
              <w:left w:val="nil"/>
              <w:bottom w:val="single" w:sz="4" w:space="0" w:color="auto"/>
              <w:right w:val="single" w:sz="4" w:space="0" w:color="auto"/>
            </w:tcBorders>
            <w:shd w:val="clear" w:color="auto" w:fill="auto"/>
            <w:noWrap/>
            <w:vAlign w:val="bottom"/>
            <w:hideMark/>
          </w:tcPr>
          <w:p w14:paraId="1CBA7A51"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1.1</w:t>
            </w:r>
          </w:p>
        </w:tc>
        <w:tc>
          <w:tcPr>
            <w:tcW w:w="1240" w:type="dxa"/>
            <w:tcBorders>
              <w:top w:val="nil"/>
              <w:left w:val="nil"/>
              <w:bottom w:val="single" w:sz="4" w:space="0" w:color="auto"/>
              <w:right w:val="single" w:sz="4" w:space="0" w:color="auto"/>
            </w:tcBorders>
            <w:shd w:val="clear" w:color="auto" w:fill="auto"/>
            <w:noWrap/>
            <w:vAlign w:val="bottom"/>
            <w:hideMark/>
          </w:tcPr>
          <w:p w14:paraId="38F32AA0"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0.271</w:t>
            </w:r>
          </w:p>
        </w:tc>
        <w:tc>
          <w:tcPr>
            <w:tcW w:w="1301" w:type="dxa"/>
            <w:tcBorders>
              <w:top w:val="nil"/>
              <w:left w:val="nil"/>
              <w:bottom w:val="single" w:sz="4" w:space="0" w:color="auto"/>
              <w:right w:val="single" w:sz="4" w:space="0" w:color="auto"/>
            </w:tcBorders>
            <w:shd w:val="clear" w:color="auto" w:fill="auto"/>
            <w:noWrap/>
            <w:vAlign w:val="bottom"/>
            <w:hideMark/>
          </w:tcPr>
          <w:p w14:paraId="63B7149D"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-0.0042</w:t>
            </w:r>
          </w:p>
        </w:tc>
        <w:tc>
          <w:tcPr>
            <w:tcW w:w="1179" w:type="dxa"/>
            <w:tcBorders>
              <w:top w:val="nil"/>
              <w:left w:val="nil"/>
              <w:bottom w:val="single" w:sz="4" w:space="0" w:color="auto"/>
              <w:right w:val="single" w:sz="4" w:space="0" w:color="auto"/>
            </w:tcBorders>
            <w:shd w:val="clear" w:color="auto" w:fill="auto"/>
            <w:noWrap/>
            <w:vAlign w:val="bottom"/>
            <w:hideMark/>
          </w:tcPr>
          <w:p w14:paraId="019EB8BC"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0.0151</w:t>
            </w:r>
          </w:p>
        </w:tc>
      </w:tr>
      <w:tr w:rsidR="00547D4C" w:rsidRPr="00AF5A5E" w14:paraId="760757AA" w14:textId="77777777" w:rsidTr="00545577">
        <w:trPr>
          <w:trHeight w:val="28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20FDC7" w14:textId="77777777" w:rsidR="00547D4C" w:rsidRPr="00AF5A5E" w:rsidRDefault="0062217F" w:rsidP="00545577">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γ</m:t>
                    </m:r>
                  </m:e>
                  <m:sub>
                    <m:r>
                      <w:rPr>
                        <w:rFonts w:ascii="Cambria Math" w:eastAsiaTheme="minorEastAsia" w:hAnsi="Cambria Math"/>
                        <w:sz w:val="24"/>
                        <w:szCs w:val="24"/>
                        <w:lang w:val="es-CL"/>
                      </w:rPr>
                      <m:t>0</m:t>
                    </m:r>
                  </m:sub>
                </m:sSub>
              </m:oMath>
            </m:oMathPara>
          </w:p>
        </w:tc>
        <w:tc>
          <w:tcPr>
            <w:tcW w:w="1240" w:type="dxa"/>
            <w:tcBorders>
              <w:top w:val="nil"/>
              <w:left w:val="nil"/>
              <w:bottom w:val="single" w:sz="4" w:space="0" w:color="auto"/>
              <w:right w:val="single" w:sz="4" w:space="0" w:color="auto"/>
            </w:tcBorders>
            <w:shd w:val="clear" w:color="auto" w:fill="auto"/>
            <w:noWrap/>
            <w:vAlign w:val="bottom"/>
            <w:hideMark/>
          </w:tcPr>
          <w:p w14:paraId="1DB4852D"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0.0005</w:t>
            </w:r>
          </w:p>
        </w:tc>
        <w:tc>
          <w:tcPr>
            <w:tcW w:w="1240" w:type="dxa"/>
            <w:tcBorders>
              <w:top w:val="nil"/>
              <w:left w:val="nil"/>
              <w:bottom w:val="single" w:sz="4" w:space="0" w:color="auto"/>
              <w:right w:val="single" w:sz="4" w:space="0" w:color="auto"/>
            </w:tcBorders>
            <w:shd w:val="clear" w:color="auto" w:fill="auto"/>
            <w:noWrap/>
            <w:vAlign w:val="bottom"/>
            <w:hideMark/>
          </w:tcPr>
          <w:p w14:paraId="3165C692"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0.0003</w:t>
            </w:r>
          </w:p>
        </w:tc>
        <w:tc>
          <w:tcPr>
            <w:tcW w:w="1240" w:type="dxa"/>
            <w:tcBorders>
              <w:top w:val="nil"/>
              <w:left w:val="nil"/>
              <w:bottom w:val="single" w:sz="4" w:space="0" w:color="auto"/>
              <w:right w:val="single" w:sz="4" w:space="0" w:color="auto"/>
            </w:tcBorders>
            <w:shd w:val="clear" w:color="auto" w:fill="auto"/>
            <w:noWrap/>
            <w:vAlign w:val="bottom"/>
            <w:hideMark/>
          </w:tcPr>
          <w:p w14:paraId="287FA3DC"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1.54</w:t>
            </w:r>
          </w:p>
        </w:tc>
        <w:tc>
          <w:tcPr>
            <w:tcW w:w="1240" w:type="dxa"/>
            <w:tcBorders>
              <w:top w:val="nil"/>
              <w:left w:val="nil"/>
              <w:bottom w:val="single" w:sz="4" w:space="0" w:color="auto"/>
              <w:right w:val="single" w:sz="4" w:space="0" w:color="auto"/>
            </w:tcBorders>
            <w:shd w:val="clear" w:color="auto" w:fill="auto"/>
            <w:noWrap/>
            <w:vAlign w:val="bottom"/>
            <w:hideMark/>
          </w:tcPr>
          <w:p w14:paraId="43BDFA13"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0.124</w:t>
            </w:r>
          </w:p>
        </w:tc>
        <w:tc>
          <w:tcPr>
            <w:tcW w:w="1301" w:type="dxa"/>
            <w:tcBorders>
              <w:top w:val="nil"/>
              <w:left w:val="nil"/>
              <w:bottom w:val="single" w:sz="4" w:space="0" w:color="auto"/>
              <w:right w:val="single" w:sz="4" w:space="0" w:color="auto"/>
            </w:tcBorders>
            <w:shd w:val="clear" w:color="auto" w:fill="auto"/>
            <w:noWrap/>
            <w:vAlign w:val="bottom"/>
            <w:hideMark/>
          </w:tcPr>
          <w:p w14:paraId="6A2F8BDB"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-0.0001</w:t>
            </w:r>
          </w:p>
        </w:tc>
        <w:tc>
          <w:tcPr>
            <w:tcW w:w="1179" w:type="dxa"/>
            <w:tcBorders>
              <w:top w:val="nil"/>
              <w:left w:val="nil"/>
              <w:bottom w:val="single" w:sz="4" w:space="0" w:color="auto"/>
              <w:right w:val="single" w:sz="4" w:space="0" w:color="auto"/>
            </w:tcBorders>
            <w:shd w:val="clear" w:color="auto" w:fill="auto"/>
            <w:noWrap/>
            <w:vAlign w:val="bottom"/>
            <w:hideMark/>
          </w:tcPr>
          <w:p w14:paraId="3D155269" w14:textId="77777777" w:rsidR="00547D4C" w:rsidRPr="00AF5A5E" w:rsidRDefault="00547D4C" w:rsidP="00545577">
            <w:pPr>
              <w:spacing w:after="0" w:line="240" w:lineRule="auto"/>
              <w:jc w:val="right"/>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0.0011</w:t>
            </w:r>
          </w:p>
        </w:tc>
      </w:tr>
    </w:tbl>
    <w:p w14:paraId="2BF80BF2" w14:textId="49A4DC12" w:rsidR="00547D4C" w:rsidRDefault="00547D4C" w:rsidP="00547D4C">
      <w:pPr>
        <w:jc w:val="both"/>
        <w:rPr>
          <w:sz w:val="24"/>
          <w:szCs w:val="24"/>
          <w:lang w:val="es-CL"/>
        </w:rPr>
      </w:pPr>
    </w:p>
    <w:p w14:paraId="0B71641F" w14:textId="475317EF" w:rsidR="002176A0" w:rsidRPr="003B6C66" w:rsidRDefault="002176A0" w:rsidP="00C52799">
      <w:pPr>
        <w:jc w:val="both"/>
        <w:rPr>
          <w:sz w:val="24"/>
          <w:szCs w:val="24"/>
        </w:rPr>
      </w:pPr>
      <w:r w:rsidRPr="003B6C66">
        <w:rPr>
          <w:sz w:val="24"/>
          <w:szCs w:val="24"/>
        </w:rPr>
        <w:t>When we use the IMACEC as a proxy for demand stimuli, the results remain practically identical when we compare the results of Tables A3 and Table 1 in the text. The estimated coefficients remain very stable. In particular, the IMACEC does not seem to be an important variable that explains inflation. The same happens when the GMM method is used in the estimation.</w:t>
      </w:r>
    </w:p>
    <w:p w14:paraId="38568172" w14:textId="7BD1C444" w:rsidR="00C52799" w:rsidRPr="003B6C66" w:rsidRDefault="00C52799" w:rsidP="00C52799">
      <w:pPr>
        <w:jc w:val="both"/>
        <w:rPr>
          <w:b/>
          <w:bCs/>
          <w:sz w:val="24"/>
          <w:szCs w:val="24"/>
          <w:u w:val="single"/>
        </w:rPr>
      </w:pPr>
      <w:r w:rsidRPr="003B6C66">
        <w:rPr>
          <w:rFonts w:eastAsiaTheme="minorEastAsia"/>
          <w:b/>
          <w:bCs/>
          <w:sz w:val="24"/>
          <w:szCs w:val="24"/>
        </w:rPr>
        <w:lastRenderedPageBreak/>
        <w:t>Tabl</w:t>
      </w:r>
      <w:r w:rsidR="00273E20" w:rsidRPr="003B6C66">
        <w:rPr>
          <w:rFonts w:eastAsiaTheme="minorEastAsia"/>
          <w:b/>
          <w:bCs/>
          <w:sz w:val="24"/>
          <w:szCs w:val="24"/>
        </w:rPr>
        <w:t>e</w:t>
      </w:r>
      <w:r w:rsidRPr="003B6C66">
        <w:rPr>
          <w:rFonts w:eastAsiaTheme="minorEastAsia"/>
          <w:b/>
          <w:bCs/>
          <w:sz w:val="24"/>
          <w:szCs w:val="24"/>
        </w:rPr>
        <w:t xml:space="preserve"> </w:t>
      </w:r>
      <w:r w:rsidR="00EF7083" w:rsidRPr="003B6C66">
        <w:rPr>
          <w:rFonts w:eastAsiaTheme="minorEastAsia"/>
          <w:b/>
          <w:bCs/>
          <w:sz w:val="24"/>
          <w:szCs w:val="24"/>
        </w:rPr>
        <w:t>A</w:t>
      </w:r>
      <w:r w:rsidR="005F5FEE" w:rsidRPr="003B6C66">
        <w:rPr>
          <w:rFonts w:eastAsiaTheme="minorEastAsia"/>
          <w:b/>
          <w:bCs/>
          <w:sz w:val="24"/>
          <w:szCs w:val="24"/>
        </w:rPr>
        <w:t>4</w:t>
      </w:r>
      <w:r w:rsidRPr="003B6C66">
        <w:rPr>
          <w:rFonts w:eastAsiaTheme="minorEastAsia"/>
          <w:b/>
          <w:bCs/>
          <w:sz w:val="24"/>
          <w:szCs w:val="24"/>
        </w:rPr>
        <w:t>.</w:t>
      </w:r>
      <w:r w:rsidR="00700338" w:rsidRPr="003B6C66">
        <w:rPr>
          <w:rFonts w:eastAsiaTheme="minorEastAsia"/>
          <w:b/>
          <w:bCs/>
          <w:sz w:val="24"/>
          <w:szCs w:val="24"/>
        </w:rPr>
        <w:t xml:space="preserve"> </w:t>
      </w:r>
      <w:r w:rsidR="00273E20" w:rsidRPr="003B6C66">
        <w:rPr>
          <w:rFonts w:eastAsiaTheme="minorEastAsia"/>
          <w:b/>
          <w:bCs/>
          <w:sz w:val="24"/>
          <w:szCs w:val="24"/>
        </w:rPr>
        <w:t>Estimation by GMM adding the variation of the IMACEC</w:t>
      </w:r>
    </w:p>
    <w:tbl>
      <w:tblPr>
        <w:tblStyle w:val="Tablanormal1"/>
        <w:tblW w:w="4950" w:type="dxa"/>
        <w:tblLook w:val="04A0" w:firstRow="1" w:lastRow="0" w:firstColumn="1" w:lastColumn="0" w:noHBand="0" w:noVBand="1"/>
      </w:tblPr>
      <w:tblGrid>
        <w:gridCol w:w="3309"/>
        <w:gridCol w:w="1641"/>
      </w:tblGrid>
      <w:tr w:rsidR="00547D4C" w:rsidRPr="0071591B" w14:paraId="7C7ABB9F" w14:textId="77777777" w:rsidTr="00754F2F">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309" w:type="dxa"/>
            <w:shd w:val="clear" w:color="auto" w:fill="D9E2F3" w:themeFill="accent1" w:themeFillTint="33"/>
            <w:noWrap/>
            <w:hideMark/>
          </w:tcPr>
          <w:p w14:paraId="056B6D39" w14:textId="2B9AEA6F" w:rsidR="00547D4C" w:rsidRPr="0093372C" w:rsidRDefault="00547D4C" w:rsidP="00545577">
            <w:pPr>
              <w:rPr>
                <w:rFonts w:ascii="Calibri" w:eastAsia="Times New Roman" w:hAnsi="Calibri" w:cs="Calibri"/>
                <w:color w:val="000000"/>
              </w:rPr>
            </w:pPr>
            <w:r w:rsidRPr="0093372C">
              <w:rPr>
                <w:rFonts w:ascii="Calibri" w:eastAsia="Times New Roman" w:hAnsi="Calibri" w:cs="Calibri"/>
                <w:color w:val="000000"/>
              </w:rPr>
              <w:t>N</w:t>
            </w:r>
            <w:r w:rsidR="000A2DB8">
              <w:rPr>
                <w:rFonts w:ascii="Calibri" w:eastAsia="Times New Roman" w:hAnsi="Calibri" w:cs="Calibri"/>
                <w:color w:val="000000"/>
              </w:rPr>
              <w:t>umber</w:t>
            </w:r>
            <w:r w:rsidRPr="0093372C">
              <w:rPr>
                <w:rFonts w:ascii="Calibri" w:eastAsia="Times New Roman" w:hAnsi="Calibri" w:cs="Calibri"/>
                <w:color w:val="000000"/>
              </w:rPr>
              <w:t xml:space="preserve"> </w:t>
            </w:r>
            <w:r w:rsidR="000A2DB8">
              <w:rPr>
                <w:rFonts w:ascii="Calibri" w:eastAsia="Times New Roman" w:hAnsi="Calibri" w:cs="Calibri"/>
                <w:color w:val="000000"/>
              </w:rPr>
              <w:t>of</w:t>
            </w:r>
            <w:r w:rsidRPr="0093372C">
              <w:rPr>
                <w:rFonts w:ascii="Calibri" w:eastAsia="Times New Roman" w:hAnsi="Calibri" w:cs="Calibri"/>
                <w:color w:val="000000"/>
              </w:rPr>
              <w:t xml:space="preserve"> observa</w:t>
            </w:r>
            <w:r w:rsidR="000A2DB8">
              <w:rPr>
                <w:rFonts w:ascii="Calibri" w:eastAsia="Times New Roman" w:hAnsi="Calibri" w:cs="Calibri"/>
                <w:color w:val="000000"/>
              </w:rPr>
              <w:t>tions</w:t>
            </w:r>
          </w:p>
        </w:tc>
        <w:tc>
          <w:tcPr>
            <w:tcW w:w="1641" w:type="dxa"/>
            <w:shd w:val="clear" w:color="auto" w:fill="FFFFFF" w:themeFill="background1"/>
            <w:noWrap/>
            <w:hideMark/>
          </w:tcPr>
          <w:p w14:paraId="0549D4F0" w14:textId="77777777" w:rsidR="00547D4C" w:rsidRPr="0093372C" w:rsidRDefault="00547D4C" w:rsidP="0054557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sidRPr="0093372C">
              <w:rPr>
                <w:rFonts w:ascii="Calibri" w:eastAsia="Times New Roman" w:hAnsi="Calibri" w:cs="Calibri"/>
                <w:b w:val="0"/>
                <w:bCs w:val="0"/>
                <w:color w:val="000000"/>
              </w:rPr>
              <w:t>261</w:t>
            </w:r>
          </w:p>
        </w:tc>
      </w:tr>
      <w:tr w:rsidR="00547D4C" w:rsidRPr="0071591B" w14:paraId="45BA87DF" w14:textId="77777777" w:rsidTr="00754F2F">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309" w:type="dxa"/>
            <w:shd w:val="clear" w:color="auto" w:fill="D9E2F3" w:themeFill="accent1" w:themeFillTint="33"/>
            <w:noWrap/>
            <w:hideMark/>
          </w:tcPr>
          <w:p w14:paraId="0B7CCB0F" w14:textId="77777777" w:rsidR="00547D4C" w:rsidRPr="0093372C" w:rsidRDefault="00547D4C" w:rsidP="00545577">
            <w:pPr>
              <w:rPr>
                <w:rFonts w:ascii="Calibri" w:eastAsia="Times New Roman" w:hAnsi="Calibri" w:cs="Calibri"/>
                <w:color w:val="000000"/>
              </w:rPr>
            </w:pPr>
            <w:r w:rsidRPr="0093372C">
              <w:rPr>
                <w:rFonts w:ascii="Calibri" w:eastAsia="Times New Roman" w:hAnsi="Calibri" w:cs="Calibri"/>
                <w:color w:val="000000"/>
              </w:rPr>
              <w:t>Wald chi2(1</w:t>
            </w:r>
            <w:r>
              <w:rPr>
                <w:rFonts w:ascii="Calibri" w:eastAsia="Times New Roman" w:hAnsi="Calibri" w:cs="Calibri"/>
                <w:color w:val="000000"/>
              </w:rPr>
              <w:t>2</w:t>
            </w:r>
            <w:r w:rsidRPr="0093372C">
              <w:rPr>
                <w:rFonts w:ascii="Calibri" w:eastAsia="Times New Roman" w:hAnsi="Calibri" w:cs="Calibri"/>
                <w:color w:val="000000"/>
              </w:rPr>
              <w:t>)</w:t>
            </w:r>
          </w:p>
        </w:tc>
        <w:tc>
          <w:tcPr>
            <w:tcW w:w="1641" w:type="dxa"/>
            <w:shd w:val="clear" w:color="auto" w:fill="FFFFFF" w:themeFill="background1"/>
            <w:noWrap/>
            <w:hideMark/>
          </w:tcPr>
          <w:p w14:paraId="4D86C182" w14:textId="77777777" w:rsidR="00547D4C" w:rsidRPr="0071591B" w:rsidRDefault="00547D4C" w:rsidP="005455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1591B">
              <w:rPr>
                <w:rFonts w:ascii="Calibri" w:eastAsia="Times New Roman" w:hAnsi="Calibri" w:cs="Calibri"/>
                <w:color w:val="000000"/>
              </w:rPr>
              <w:t>1</w:t>
            </w:r>
            <w:r>
              <w:rPr>
                <w:rFonts w:ascii="Calibri" w:eastAsia="Times New Roman" w:hAnsi="Calibri" w:cs="Calibri"/>
                <w:color w:val="000000"/>
              </w:rPr>
              <w:t>87</w:t>
            </w:r>
            <w:r w:rsidRPr="0071591B">
              <w:rPr>
                <w:rFonts w:ascii="Calibri" w:eastAsia="Times New Roman" w:hAnsi="Calibri" w:cs="Calibri"/>
                <w:color w:val="000000"/>
              </w:rPr>
              <w:t>.</w:t>
            </w:r>
            <w:r>
              <w:rPr>
                <w:rFonts w:ascii="Calibri" w:eastAsia="Times New Roman" w:hAnsi="Calibri" w:cs="Calibri"/>
                <w:color w:val="000000"/>
              </w:rPr>
              <w:t>14</w:t>
            </w:r>
          </w:p>
        </w:tc>
      </w:tr>
      <w:tr w:rsidR="00547D4C" w:rsidRPr="0071591B" w14:paraId="6BB0E8EF" w14:textId="77777777" w:rsidTr="00754F2F">
        <w:trPr>
          <w:trHeight w:val="296"/>
        </w:trPr>
        <w:tc>
          <w:tcPr>
            <w:cnfStyle w:val="001000000000" w:firstRow="0" w:lastRow="0" w:firstColumn="1" w:lastColumn="0" w:oddVBand="0" w:evenVBand="0" w:oddHBand="0" w:evenHBand="0" w:firstRowFirstColumn="0" w:firstRowLastColumn="0" w:lastRowFirstColumn="0" w:lastRowLastColumn="0"/>
            <w:tcW w:w="3309" w:type="dxa"/>
            <w:shd w:val="clear" w:color="auto" w:fill="D9E2F3" w:themeFill="accent1" w:themeFillTint="33"/>
            <w:noWrap/>
            <w:hideMark/>
          </w:tcPr>
          <w:p w14:paraId="1FFB4237" w14:textId="77777777" w:rsidR="00547D4C" w:rsidRPr="0093372C" w:rsidRDefault="00547D4C" w:rsidP="00545577">
            <w:pPr>
              <w:rPr>
                <w:rFonts w:ascii="Calibri" w:eastAsia="Times New Roman" w:hAnsi="Calibri" w:cs="Calibri"/>
                <w:color w:val="000000"/>
              </w:rPr>
            </w:pPr>
            <w:r w:rsidRPr="0093372C">
              <w:rPr>
                <w:rFonts w:ascii="Calibri" w:eastAsia="Times New Roman" w:hAnsi="Calibri" w:cs="Calibri"/>
                <w:color w:val="000000"/>
              </w:rPr>
              <w:t>Prob &gt; chi2</w:t>
            </w:r>
          </w:p>
        </w:tc>
        <w:tc>
          <w:tcPr>
            <w:tcW w:w="1641" w:type="dxa"/>
            <w:shd w:val="clear" w:color="auto" w:fill="FFFFFF" w:themeFill="background1"/>
            <w:noWrap/>
            <w:hideMark/>
          </w:tcPr>
          <w:p w14:paraId="05280769" w14:textId="77777777" w:rsidR="00547D4C" w:rsidRPr="0071591B" w:rsidRDefault="00547D4C" w:rsidP="005455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1591B">
              <w:rPr>
                <w:rFonts w:ascii="Calibri" w:eastAsia="Times New Roman" w:hAnsi="Calibri" w:cs="Calibri"/>
                <w:color w:val="000000"/>
              </w:rPr>
              <w:t>0.0000</w:t>
            </w:r>
          </w:p>
        </w:tc>
      </w:tr>
      <w:tr w:rsidR="00547D4C" w:rsidRPr="0071591B" w14:paraId="2F2728AC" w14:textId="77777777" w:rsidTr="00754F2F">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309" w:type="dxa"/>
            <w:shd w:val="clear" w:color="auto" w:fill="D9E2F3" w:themeFill="accent1" w:themeFillTint="33"/>
            <w:noWrap/>
            <w:hideMark/>
          </w:tcPr>
          <w:p w14:paraId="7CE515F3" w14:textId="7A65FA11" w:rsidR="00547D4C" w:rsidRPr="0093372C" w:rsidRDefault="00547D4C" w:rsidP="00545577">
            <w:pPr>
              <w:rPr>
                <w:rFonts w:ascii="Calibri" w:eastAsia="Times New Roman" w:hAnsi="Calibri" w:cs="Calibri"/>
                <w:color w:val="000000"/>
              </w:rPr>
            </w:pPr>
            <w:r w:rsidRPr="0093372C">
              <w:rPr>
                <w:rFonts w:ascii="Calibri" w:eastAsia="Times New Roman" w:hAnsi="Calibri" w:cs="Calibri"/>
                <w:color w:val="000000"/>
              </w:rPr>
              <w:t>R-</w:t>
            </w:r>
            <w:r w:rsidR="000A2DB8">
              <w:rPr>
                <w:rFonts w:ascii="Calibri" w:eastAsia="Times New Roman" w:hAnsi="Calibri" w:cs="Calibri"/>
                <w:color w:val="000000"/>
              </w:rPr>
              <w:t>squared</w:t>
            </w:r>
          </w:p>
        </w:tc>
        <w:tc>
          <w:tcPr>
            <w:tcW w:w="1641" w:type="dxa"/>
            <w:shd w:val="clear" w:color="auto" w:fill="FFFFFF" w:themeFill="background1"/>
            <w:noWrap/>
            <w:hideMark/>
          </w:tcPr>
          <w:p w14:paraId="7B8818AA" w14:textId="77777777" w:rsidR="00547D4C" w:rsidRPr="0071591B" w:rsidRDefault="00547D4C" w:rsidP="005455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1591B">
              <w:rPr>
                <w:rFonts w:ascii="Calibri" w:eastAsia="Times New Roman" w:hAnsi="Calibri" w:cs="Calibri"/>
                <w:color w:val="000000"/>
              </w:rPr>
              <w:t>0.2</w:t>
            </w:r>
            <w:r>
              <w:rPr>
                <w:rFonts w:ascii="Calibri" w:eastAsia="Times New Roman" w:hAnsi="Calibri" w:cs="Calibri"/>
                <w:color w:val="000000"/>
              </w:rPr>
              <w:t>752</w:t>
            </w:r>
          </w:p>
        </w:tc>
      </w:tr>
    </w:tbl>
    <w:p w14:paraId="0C500C27" w14:textId="77777777" w:rsidR="00547D4C" w:rsidRDefault="00547D4C" w:rsidP="00547D4C">
      <w:pPr>
        <w:jc w:val="both"/>
        <w:rPr>
          <w:sz w:val="24"/>
          <w:szCs w:val="24"/>
          <w:lang w:val="es-CL"/>
        </w:rPr>
      </w:pPr>
    </w:p>
    <w:tbl>
      <w:tblPr>
        <w:tblW w:w="9240" w:type="dxa"/>
        <w:tblCellMar>
          <w:left w:w="70" w:type="dxa"/>
          <w:right w:w="70" w:type="dxa"/>
        </w:tblCellMar>
        <w:tblLook w:val="04A0" w:firstRow="1" w:lastRow="0" w:firstColumn="1" w:lastColumn="0" w:noHBand="0" w:noVBand="1"/>
      </w:tblPr>
      <w:tblGrid>
        <w:gridCol w:w="1800"/>
        <w:gridCol w:w="1240"/>
        <w:gridCol w:w="1240"/>
        <w:gridCol w:w="818"/>
        <w:gridCol w:w="1134"/>
        <w:gridCol w:w="1560"/>
        <w:gridCol w:w="1448"/>
      </w:tblGrid>
      <w:tr w:rsidR="00547D4C" w:rsidRPr="00982FCB" w14:paraId="46A2AF97" w14:textId="77777777" w:rsidTr="00AE2850">
        <w:trPr>
          <w:trHeight w:val="288"/>
        </w:trPr>
        <w:tc>
          <w:tcPr>
            <w:tcW w:w="180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75EEFA73" w14:textId="02E19203" w:rsidR="00547D4C" w:rsidRPr="00982FCB" w:rsidRDefault="00547D4C" w:rsidP="00545577">
            <w:pPr>
              <w:spacing w:after="0" w:line="240" w:lineRule="auto"/>
              <w:rPr>
                <w:rFonts w:ascii="Calibri" w:eastAsia="Times New Roman" w:hAnsi="Calibri" w:cs="Calibri"/>
                <w:color w:val="000000"/>
                <w:lang w:val="es-CL" w:eastAsia="es-CL"/>
              </w:rPr>
            </w:pPr>
            <w:r w:rsidRPr="008E7809">
              <w:rPr>
                <w:rFonts w:ascii="Calibri" w:eastAsia="Times New Roman" w:hAnsi="Calibri" w:cs="Calibri"/>
                <w:b/>
                <w:bCs/>
                <w:color w:val="000000"/>
              </w:rPr>
              <w:t>Chile</w:t>
            </w:r>
            <w:r w:rsidR="000A2DB8">
              <w:rPr>
                <w:rFonts w:ascii="Calibri" w:eastAsia="Times New Roman" w:hAnsi="Calibri" w:cs="Calibri"/>
                <w:b/>
                <w:bCs/>
                <w:color w:val="000000"/>
              </w:rPr>
              <w:t xml:space="preserve"> </w:t>
            </w:r>
            <w:r w:rsidR="000A2DB8" w:rsidRPr="008E7809">
              <w:rPr>
                <w:rFonts w:ascii="Calibri" w:eastAsia="Times New Roman" w:hAnsi="Calibri" w:cs="Calibri"/>
                <w:b/>
                <w:bCs/>
                <w:color w:val="000000"/>
              </w:rPr>
              <w:t>Inf.</w:t>
            </w:r>
          </w:p>
        </w:tc>
        <w:tc>
          <w:tcPr>
            <w:tcW w:w="1240" w:type="dxa"/>
            <w:tcBorders>
              <w:top w:val="single" w:sz="4" w:space="0" w:color="auto"/>
              <w:left w:val="nil"/>
              <w:bottom w:val="single" w:sz="4" w:space="0" w:color="auto"/>
              <w:right w:val="single" w:sz="4" w:space="0" w:color="auto"/>
            </w:tcBorders>
            <w:shd w:val="clear" w:color="auto" w:fill="D9E2F3" w:themeFill="accent1" w:themeFillTint="33"/>
            <w:noWrap/>
            <w:hideMark/>
          </w:tcPr>
          <w:p w14:paraId="6C0AF626" w14:textId="676A7587" w:rsidR="00547D4C" w:rsidRPr="00982FCB" w:rsidRDefault="00547D4C" w:rsidP="00545577">
            <w:pPr>
              <w:spacing w:after="0" w:line="240" w:lineRule="auto"/>
              <w:rPr>
                <w:rFonts w:ascii="Calibri" w:eastAsia="Times New Roman" w:hAnsi="Calibri" w:cs="Calibri"/>
                <w:color w:val="000000"/>
                <w:lang w:val="es-CL" w:eastAsia="es-CL"/>
              </w:rPr>
            </w:pPr>
            <w:r w:rsidRPr="008E7809">
              <w:rPr>
                <w:rFonts w:ascii="Calibri" w:eastAsia="Times New Roman" w:hAnsi="Calibri" w:cs="Calibri"/>
                <w:b/>
                <w:bCs/>
                <w:color w:val="000000"/>
              </w:rPr>
              <w:t>Coef</w:t>
            </w:r>
            <w:r w:rsidR="000A2DB8">
              <w:rPr>
                <w:rFonts w:ascii="Calibri" w:eastAsia="Times New Roman" w:hAnsi="Calibri" w:cs="Calibri"/>
                <w:b/>
                <w:bCs/>
                <w:color w:val="000000"/>
              </w:rPr>
              <w:t>f</w:t>
            </w:r>
            <w:r w:rsidRPr="008E7809">
              <w:rPr>
                <w:rFonts w:ascii="Calibri" w:eastAsia="Times New Roman" w:hAnsi="Calibri" w:cs="Calibri"/>
                <w:b/>
                <w:bCs/>
                <w:color w:val="000000"/>
              </w:rPr>
              <w:t>icient</w:t>
            </w:r>
          </w:p>
        </w:tc>
        <w:tc>
          <w:tcPr>
            <w:tcW w:w="1240" w:type="dxa"/>
            <w:tcBorders>
              <w:top w:val="single" w:sz="4" w:space="0" w:color="auto"/>
              <w:left w:val="nil"/>
              <w:bottom w:val="single" w:sz="4" w:space="0" w:color="auto"/>
              <w:right w:val="single" w:sz="4" w:space="0" w:color="auto"/>
            </w:tcBorders>
            <w:shd w:val="clear" w:color="auto" w:fill="D9E2F3" w:themeFill="accent1" w:themeFillTint="33"/>
            <w:noWrap/>
            <w:hideMark/>
          </w:tcPr>
          <w:p w14:paraId="7B92110D" w14:textId="1B749CF7" w:rsidR="00547D4C" w:rsidRPr="00982FCB" w:rsidRDefault="000A2DB8" w:rsidP="000A2DB8">
            <w:pPr>
              <w:spacing w:after="0" w:line="240" w:lineRule="auto"/>
              <w:jc w:val="center"/>
              <w:rPr>
                <w:rFonts w:ascii="Calibri" w:eastAsia="Times New Roman" w:hAnsi="Calibri" w:cs="Calibri"/>
                <w:color w:val="000000"/>
                <w:lang w:val="es-CL" w:eastAsia="es-CL"/>
              </w:rPr>
            </w:pPr>
            <w:r w:rsidRPr="008E7809">
              <w:rPr>
                <w:rFonts w:ascii="Calibri" w:eastAsia="Times New Roman" w:hAnsi="Calibri" w:cs="Calibri"/>
                <w:b/>
                <w:bCs/>
                <w:color w:val="000000"/>
              </w:rPr>
              <w:t>Robust</w:t>
            </w:r>
            <w:r>
              <w:rPr>
                <w:rFonts w:ascii="Calibri" w:eastAsia="Times New Roman" w:hAnsi="Calibri" w:cs="Calibri"/>
                <w:b/>
                <w:bCs/>
                <w:color w:val="000000"/>
              </w:rPr>
              <w:t xml:space="preserve"> Std. Err.</w:t>
            </w:r>
          </w:p>
        </w:tc>
        <w:tc>
          <w:tcPr>
            <w:tcW w:w="818" w:type="dxa"/>
            <w:tcBorders>
              <w:top w:val="single" w:sz="4" w:space="0" w:color="auto"/>
              <w:left w:val="nil"/>
              <w:bottom w:val="single" w:sz="4" w:space="0" w:color="auto"/>
              <w:right w:val="single" w:sz="4" w:space="0" w:color="auto"/>
            </w:tcBorders>
            <w:shd w:val="clear" w:color="auto" w:fill="D9E2F3" w:themeFill="accent1" w:themeFillTint="33"/>
            <w:noWrap/>
            <w:hideMark/>
          </w:tcPr>
          <w:p w14:paraId="2DA52CAA" w14:textId="77777777" w:rsidR="00547D4C" w:rsidRPr="00982FCB" w:rsidRDefault="00547D4C" w:rsidP="00545577">
            <w:pPr>
              <w:spacing w:after="0" w:line="240" w:lineRule="auto"/>
              <w:rPr>
                <w:rFonts w:ascii="Calibri" w:eastAsia="Times New Roman" w:hAnsi="Calibri" w:cs="Calibri"/>
                <w:color w:val="000000"/>
                <w:lang w:val="es-CL" w:eastAsia="es-CL"/>
              </w:rPr>
            </w:pPr>
            <w:r>
              <w:rPr>
                <w:rFonts w:ascii="Calibri" w:eastAsia="Times New Roman" w:hAnsi="Calibri" w:cs="Calibri"/>
                <w:b/>
                <w:bCs/>
                <w:color w:val="000000"/>
              </w:rPr>
              <w:t>z</w:t>
            </w:r>
          </w:p>
        </w:tc>
        <w:tc>
          <w:tcPr>
            <w:tcW w:w="1134" w:type="dxa"/>
            <w:tcBorders>
              <w:top w:val="single" w:sz="4" w:space="0" w:color="auto"/>
              <w:left w:val="nil"/>
              <w:bottom w:val="single" w:sz="4" w:space="0" w:color="auto"/>
              <w:right w:val="single" w:sz="4" w:space="0" w:color="auto"/>
            </w:tcBorders>
            <w:shd w:val="clear" w:color="auto" w:fill="D9E2F3" w:themeFill="accent1" w:themeFillTint="33"/>
            <w:noWrap/>
            <w:hideMark/>
          </w:tcPr>
          <w:p w14:paraId="34AF42DC" w14:textId="77777777" w:rsidR="00547D4C" w:rsidRPr="00982FCB" w:rsidRDefault="00547D4C" w:rsidP="00545577">
            <w:pPr>
              <w:spacing w:after="0" w:line="240" w:lineRule="auto"/>
              <w:rPr>
                <w:rFonts w:ascii="Calibri" w:eastAsia="Times New Roman" w:hAnsi="Calibri" w:cs="Calibri"/>
                <w:color w:val="000000"/>
                <w:lang w:val="es-CL" w:eastAsia="es-CL"/>
              </w:rPr>
            </w:pPr>
            <w:r w:rsidRPr="008E7809">
              <w:rPr>
                <w:rFonts w:ascii="Calibri" w:eastAsia="Times New Roman" w:hAnsi="Calibri" w:cs="Calibri"/>
                <w:b/>
                <w:bCs/>
                <w:color w:val="000000"/>
              </w:rPr>
              <w:t>p&gt;|</w:t>
            </w:r>
            <w:r>
              <w:rPr>
                <w:rFonts w:ascii="Calibri" w:eastAsia="Times New Roman" w:hAnsi="Calibri" w:cs="Calibri"/>
                <w:b/>
                <w:bCs/>
                <w:color w:val="000000"/>
              </w:rPr>
              <w:t>z</w:t>
            </w:r>
            <w:r w:rsidRPr="008E7809">
              <w:rPr>
                <w:rFonts w:ascii="Calibri" w:eastAsia="Times New Roman" w:hAnsi="Calibri" w:cs="Calibri"/>
                <w:b/>
                <w:bCs/>
                <w:color w:val="000000"/>
              </w:rPr>
              <w:t>|</w:t>
            </w:r>
          </w:p>
        </w:tc>
        <w:tc>
          <w:tcPr>
            <w:tcW w:w="3008" w:type="dxa"/>
            <w:gridSpan w:val="2"/>
            <w:tcBorders>
              <w:top w:val="single" w:sz="4" w:space="0" w:color="auto"/>
              <w:left w:val="nil"/>
              <w:bottom w:val="single" w:sz="4" w:space="0" w:color="auto"/>
              <w:right w:val="single" w:sz="4" w:space="0" w:color="000000"/>
            </w:tcBorders>
            <w:shd w:val="clear" w:color="auto" w:fill="D9E2F3" w:themeFill="accent1" w:themeFillTint="33"/>
            <w:noWrap/>
            <w:hideMark/>
          </w:tcPr>
          <w:p w14:paraId="42A4C83D" w14:textId="07DCB4EA" w:rsidR="00547D4C" w:rsidRPr="00982FCB" w:rsidRDefault="000A2DB8" w:rsidP="00545577">
            <w:pPr>
              <w:spacing w:after="0" w:line="240" w:lineRule="auto"/>
              <w:jc w:val="center"/>
              <w:rPr>
                <w:rFonts w:ascii="Calibri" w:eastAsia="Times New Roman" w:hAnsi="Calibri" w:cs="Calibri"/>
                <w:color w:val="000000"/>
                <w:lang w:val="es-CL" w:eastAsia="es-CL"/>
              </w:rPr>
            </w:pPr>
            <w:r>
              <w:rPr>
                <w:rFonts w:ascii="Calibri" w:eastAsia="Times New Roman" w:hAnsi="Calibri" w:cs="Calibri"/>
                <w:b/>
                <w:bCs/>
                <w:color w:val="000000"/>
              </w:rPr>
              <w:t>Confidence Interval</w:t>
            </w:r>
            <w:r w:rsidR="00547D4C" w:rsidRPr="008E7809">
              <w:rPr>
                <w:rFonts w:ascii="Calibri" w:eastAsia="Times New Roman" w:hAnsi="Calibri" w:cs="Calibri"/>
                <w:b/>
                <w:bCs/>
                <w:color w:val="000000"/>
              </w:rPr>
              <w:t xml:space="preserve"> (95%)</w:t>
            </w:r>
          </w:p>
        </w:tc>
      </w:tr>
      <w:tr w:rsidR="00547D4C" w:rsidRPr="00982FCB" w14:paraId="7AD8108B" w14:textId="77777777" w:rsidTr="00AE2850">
        <w:trPr>
          <w:trHeight w:val="28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370F1E" w14:textId="1B8D0645" w:rsidR="00547D4C" w:rsidRPr="000A2DB8" w:rsidRDefault="000A2DB8" w:rsidP="00545577">
            <w:pPr>
              <w:spacing w:after="0" w:line="240" w:lineRule="auto"/>
              <w:rPr>
                <w:rFonts w:ascii="Calibri" w:eastAsia="Times New Roman" w:hAnsi="Calibri" w:cs="Calibri"/>
                <w:color w:val="000000"/>
                <w:lang w:val="es-CL" w:eastAsia="es-CL"/>
              </w:rPr>
            </w:pPr>
            <m:oMathPara>
              <m:oMathParaPr>
                <m:jc m:val="left"/>
              </m:oMathParaPr>
              <m:oMath>
                <m:r>
                  <w:rPr>
                    <w:rFonts w:ascii="Cambria Math" w:eastAsia="Times New Roman" w:hAnsi="Cambria Math" w:cs="Calibri"/>
                    <w:color w:val="000000"/>
                  </w:rPr>
                  <m:t>∆E</m:t>
                </m:r>
              </m:oMath>
            </m:oMathPara>
          </w:p>
        </w:tc>
        <w:tc>
          <w:tcPr>
            <w:tcW w:w="1240" w:type="dxa"/>
            <w:tcBorders>
              <w:top w:val="nil"/>
              <w:left w:val="nil"/>
              <w:bottom w:val="single" w:sz="4" w:space="0" w:color="auto"/>
              <w:right w:val="single" w:sz="4" w:space="0" w:color="auto"/>
            </w:tcBorders>
            <w:shd w:val="clear" w:color="auto" w:fill="auto"/>
            <w:noWrap/>
            <w:vAlign w:val="bottom"/>
            <w:hideMark/>
          </w:tcPr>
          <w:p w14:paraId="5D4BD4E1"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0.1106</w:t>
            </w:r>
          </w:p>
        </w:tc>
        <w:tc>
          <w:tcPr>
            <w:tcW w:w="1240" w:type="dxa"/>
            <w:tcBorders>
              <w:top w:val="nil"/>
              <w:left w:val="nil"/>
              <w:bottom w:val="single" w:sz="4" w:space="0" w:color="auto"/>
              <w:right w:val="single" w:sz="4" w:space="0" w:color="auto"/>
            </w:tcBorders>
            <w:shd w:val="clear" w:color="auto" w:fill="auto"/>
            <w:noWrap/>
            <w:vAlign w:val="bottom"/>
            <w:hideMark/>
          </w:tcPr>
          <w:p w14:paraId="4132938E"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0.0296</w:t>
            </w:r>
          </w:p>
        </w:tc>
        <w:tc>
          <w:tcPr>
            <w:tcW w:w="818" w:type="dxa"/>
            <w:tcBorders>
              <w:top w:val="nil"/>
              <w:left w:val="nil"/>
              <w:bottom w:val="single" w:sz="4" w:space="0" w:color="auto"/>
              <w:right w:val="single" w:sz="4" w:space="0" w:color="auto"/>
            </w:tcBorders>
            <w:shd w:val="clear" w:color="auto" w:fill="auto"/>
            <w:noWrap/>
            <w:vAlign w:val="bottom"/>
            <w:hideMark/>
          </w:tcPr>
          <w:p w14:paraId="4C5383EE"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3.73</w:t>
            </w:r>
          </w:p>
        </w:tc>
        <w:tc>
          <w:tcPr>
            <w:tcW w:w="1134" w:type="dxa"/>
            <w:tcBorders>
              <w:top w:val="nil"/>
              <w:left w:val="nil"/>
              <w:bottom w:val="single" w:sz="4" w:space="0" w:color="auto"/>
              <w:right w:val="single" w:sz="4" w:space="0" w:color="auto"/>
            </w:tcBorders>
            <w:shd w:val="clear" w:color="auto" w:fill="auto"/>
            <w:noWrap/>
            <w:vAlign w:val="bottom"/>
            <w:hideMark/>
          </w:tcPr>
          <w:p w14:paraId="3AF91708"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w:t>
            </w:r>
          </w:p>
        </w:tc>
        <w:tc>
          <w:tcPr>
            <w:tcW w:w="1560" w:type="dxa"/>
            <w:tcBorders>
              <w:top w:val="nil"/>
              <w:left w:val="nil"/>
              <w:bottom w:val="single" w:sz="4" w:space="0" w:color="auto"/>
              <w:right w:val="single" w:sz="4" w:space="0" w:color="auto"/>
            </w:tcBorders>
            <w:shd w:val="clear" w:color="auto" w:fill="auto"/>
            <w:noWrap/>
            <w:vAlign w:val="bottom"/>
            <w:hideMark/>
          </w:tcPr>
          <w:p w14:paraId="00F55205"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0.0525</w:t>
            </w:r>
          </w:p>
        </w:tc>
        <w:tc>
          <w:tcPr>
            <w:tcW w:w="1448" w:type="dxa"/>
            <w:tcBorders>
              <w:top w:val="nil"/>
              <w:left w:val="nil"/>
              <w:bottom w:val="single" w:sz="4" w:space="0" w:color="auto"/>
              <w:right w:val="single" w:sz="4" w:space="0" w:color="auto"/>
            </w:tcBorders>
            <w:shd w:val="clear" w:color="auto" w:fill="auto"/>
            <w:noWrap/>
            <w:vAlign w:val="bottom"/>
            <w:hideMark/>
          </w:tcPr>
          <w:p w14:paraId="5E584190"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0.1686</w:t>
            </w:r>
          </w:p>
        </w:tc>
      </w:tr>
      <w:tr w:rsidR="00547D4C" w:rsidRPr="00982FCB" w14:paraId="44756AEF" w14:textId="77777777" w:rsidTr="00AE2850">
        <w:trPr>
          <w:trHeight w:val="28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FFAAFE" w14:textId="53A189DB" w:rsidR="00547D4C" w:rsidRPr="00982FCB" w:rsidRDefault="00547D4C" w:rsidP="00545577">
            <w:pPr>
              <w:spacing w:after="0" w:line="240" w:lineRule="auto"/>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US</w:t>
            </w:r>
            <w:r w:rsidR="000A2DB8">
              <w:rPr>
                <w:rFonts w:ascii="Calibri" w:eastAsia="Times New Roman" w:hAnsi="Calibri" w:cs="Calibri"/>
                <w:color w:val="000000"/>
                <w:lang w:val="es-CL" w:eastAsia="es-CL"/>
              </w:rPr>
              <w:t xml:space="preserve"> I</w:t>
            </w:r>
            <w:r w:rsidR="000A2DB8" w:rsidRPr="00AF5A5E">
              <w:rPr>
                <w:rFonts w:ascii="Calibri" w:eastAsia="Times New Roman" w:hAnsi="Calibri" w:cs="Calibri"/>
                <w:color w:val="000000"/>
                <w:lang w:val="es-CL" w:eastAsia="es-CL"/>
              </w:rPr>
              <w:t>nf</w:t>
            </w:r>
            <w:r w:rsidR="000A2DB8">
              <w:rPr>
                <w:rFonts w:ascii="Calibri" w:eastAsia="Times New Roman" w:hAnsi="Calibri" w:cs="Calibri"/>
                <w:color w:val="000000"/>
                <w:lang w:val="es-CL" w:eastAsia="es-CL"/>
              </w:rPr>
              <w:t>.</w:t>
            </w:r>
          </w:p>
        </w:tc>
        <w:tc>
          <w:tcPr>
            <w:tcW w:w="1240" w:type="dxa"/>
            <w:tcBorders>
              <w:top w:val="nil"/>
              <w:left w:val="nil"/>
              <w:bottom w:val="single" w:sz="4" w:space="0" w:color="auto"/>
              <w:right w:val="single" w:sz="4" w:space="0" w:color="auto"/>
            </w:tcBorders>
            <w:shd w:val="clear" w:color="auto" w:fill="auto"/>
            <w:noWrap/>
            <w:vAlign w:val="bottom"/>
            <w:hideMark/>
          </w:tcPr>
          <w:p w14:paraId="644FADE9"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0.5443</w:t>
            </w:r>
          </w:p>
        </w:tc>
        <w:tc>
          <w:tcPr>
            <w:tcW w:w="1240" w:type="dxa"/>
            <w:tcBorders>
              <w:top w:val="nil"/>
              <w:left w:val="nil"/>
              <w:bottom w:val="single" w:sz="4" w:space="0" w:color="auto"/>
              <w:right w:val="single" w:sz="4" w:space="0" w:color="auto"/>
            </w:tcBorders>
            <w:shd w:val="clear" w:color="auto" w:fill="auto"/>
            <w:noWrap/>
            <w:vAlign w:val="bottom"/>
            <w:hideMark/>
          </w:tcPr>
          <w:p w14:paraId="5FCFA31A"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0.0730</w:t>
            </w:r>
          </w:p>
        </w:tc>
        <w:tc>
          <w:tcPr>
            <w:tcW w:w="818" w:type="dxa"/>
            <w:tcBorders>
              <w:top w:val="nil"/>
              <w:left w:val="nil"/>
              <w:bottom w:val="single" w:sz="4" w:space="0" w:color="auto"/>
              <w:right w:val="single" w:sz="4" w:space="0" w:color="auto"/>
            </w:tcBorders>
            <w:shd w:val="clear" w:color="auto" w:fill="auto"/>
            <w:noWrap/>
            <w:vAlign w:val="bottom"/>
            <w:hideMark/>
          </w:tcPr>
          <w:p w14:paraId="3BB10605"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7.46</w:t>
            </w:r>
          </w:p>
        </w:tc>
        <w:tc>
          <w:tcPr>
            <w:tcW w:w="1134" w:type="dxa"/>
            <w:tcBorders>
              <w:top w:val="nil"/>
              <w:left w:val="nil"/>
              <w:bottom w:val="single" w:sz="4" w:space="0" w:color="auto"/>
              <w:right w:val="single" w:sz="4" w:space="0" w:color="auto"/>
            </w:tcBorders>
            <w:shd w:val="clear" w:color="auto" w:fill="auto"/>
            <w:noWrap/>
            <w:vAlign w:val="bottom"/>
            <w:hideMark/>
          </w:tcPr>
          <w:p w14:paraId="1140C509"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w:t>
            </w:r>
          </w:p>
        </w:tc>
        <w:tc>
          <w:tcPr>
            <w:tcW w:w="1560" w:type="dxa"/>
            <w:tcBorders>
              <w:top w:val="nil"/>
              <w:left w:val="nil"/>
              <w:bottom w:val="single" w:sz="4" w:space="0" w:color="auto"/>
              <w:right w:val="single" w:sz="4" w:space="0" w:color="auto"/>
            </w:tcBorders>
            <w:shd w:val="clear" w:color="auto" w:fill="auto"/>
            <w:noWrap/>
            <w:vAlign w:val="bottom"/>
            <w:hideMark/>
          </w:tcPr>
          <w:p w14:paraId="7CD3AE3A"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0.4013</w:t>
            </w:r>
          </w:p>
        </w:tc>
        <w:tc>
          <w:tcPr>
            <w:tcW w:w="1448" w:type="dxa"/>
            <w:tcBorders>
              <w:top w:val="nil"/>
              <w:left w:val="nil"/>
              <w:bottom w:val="single" w:sz="4" w:space="0" w:color="auto"/>
              <w:right w:val="single" w:sz="4" w:space="0" w:color="auto"/>
            </w:tcBorders>
            <w:shd w:val="clear" w:color="auto" w:fill="auto"/>
            <w:noWrap/>
            <w:vAlign w:val="bottom"/>
            <w:hideMark/>
          </w:tcPr>
          <w:p w14:paraId="5FCFDD9B"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0.6874</w:t>
            </w:r>
          </w:p>
        </w:tc>
      </w:tr>
      <w:tr w:rsidR="00547D4C" w:rsidRPr="00982FCB" w14:paraId="017073FF" w14:textId="77777777" w:rsidTr="00AE2850">
        <w:trPr>
          <w:trHeight w:val="28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9434AE" w14:textId="2173048B" w:rsidR="00547D4C" w:rsidRPr="00982FCB" w:rsidRDefault="00547D4C" w:rsidP="00545577">
            <w:pPr>
              <w:spacing w:after="0" w:line="240" w:lineRule="auto"/>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China</w:t>
            </w:r>
            <w:r w:rsidR="000A2DB8">
              <w:rPr>
                <w:rFonts w:ascii="Calibri" w:eastAsia="Times New Roman" w:hAnsi="Calibri" w:cs="Calibri"/>
                <w:color w:val="000000"/>
                <w:lang w:val="es-CL" w:eastAsia="es-CL"/>
              </w:rPr>
              <w:t xml:space="preserve"> I</w:t>
            </w:r>
            <w:r w:rsidR="000A2DB8" w:rsidRPr="00AF5A5E">
              <w:rPr>
                <w:rFonts w:ascii="Calibri" w:eastAsia="Times New Roman" w:hAnsi="Calibri" w:cs="Calibri"/>
                <w:color w:val="000000"/>
                <w:lang w:val="es-CL" w:eastAsia="es-CL"/>
              </w:rPr>
              <w:t>nf</w:t>
            </w:r>
            <w:r w:rsidR="000A2DB8">
              <w:rPr>
                <w:rFonts w:ascii="Calibri" w:eastAsia="Times New Roman" w:hAnsi="Calibri" w:cs="Calibri"/>
                <w:color w:val="000000"/>
                <w:lang w:val="es-CL" w:eastAsia="es-CL"/>
              </w:rPr>
              <w:t>.</w:t>
            </w:r>
          </w:p>
        </w:tc>
        <w:tc>
          <w:tcPr>
            <w:tcW w:w="1240" w:type="dxa"/>
            <w:tcBorders>
              <w:top w:val="nil"/>
              <w:left w:val="nil"/>
              <w:bottom w:val="single" w:sz="4" w:space="0" w:color="auto"/>
              <w:right w:val="single" w:sz="4" w:space="0" w:color="auto"/>
            </w:tcBorders>
            <w:shd w:val="clear" w:color="auto" w:fill="auto"/>
            <w:noWrap/>
            <w:vAlign w:val="bottom"/>
            <w:hideMark/>
          </w:tcPr>
          <w:p w14:paraId="3BB5D998"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0.0704</w:t>
            </w:r>
          </w:p>
        </w:tc>
        <w:tc>
          <w:tcPr>
            <w:tcW w:w="1240" w:type="dxa"/>
            <w:tcBorders>
              <w:top w:val="nil"/>
              <w:left w:val="nil"/>
              <w:bottom w:val="single" w:sz="4" w:space="0" w:color="auto"/>
              <w:right w:val="single" w:sz="4" w:space="0" w:color="auto"/>
            </w:tcBorders>
            <w:shd w:val="clear" w:color="auto" w:fill="auto"/>
            <w:noWrap/>
            <w:vAlign w:val="bottom"/>
            <w:hideMark/>
          </w:tcPr>
          <w:p w14:paraId="4A6962A7"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0.0385</w:t>
            </w:r>
          </w:p>
        </w:tc>
        <w:tc>
          <w:tcPr>
            <w:tcW w:w="818" w:type="dxa"/>
            <w:tcBorders>
              <w:top w:val="nil"/>
              <w:left w:val="nil"/>
              <w:bottom w:val="single" w:sz="4" w:space="0" w:color="auto"/>
              <w:right w:val="single" w:sz="4" w:space="0" w:color="auto"/>
            </w:tcBorders>
            <w:shd w:val="clear" w:color="auto" w:fill="auto"/>
            <w:noWrap/>
            <w:vAlign w:val="bottom"/>
            <w:hideMark/>
          </w:tcPr>
          <w:p w14:paraId="47FA709E"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1.83</w:t>
            </w:r>
          </w:p>
        </w:tc>
        <w:tc>
          <w:tcPr>
            <w:tcW w:w="1134" w:type="dxa"/>
            <w:tcBorders>
              <w:top w:val="nil"/>
              <w:left w:val="nil"/>
              <w:bottom w:val="single" w:sz="4" w:space="0" w:color="auto"/>
              <w:right w:val="single" w:sz="4" w:space="0" w:color="auto"/>
            </w:tcBorders>
            <w:shd w:val="clear" w:color="auto" w:fill="auto"/>
            <w:noWrap/>
            <w:vAlign w:val="bottom"/>
            <w:hideMark/>
          </w:tcPr>
          <w:p w14:paraId="6DBF2FF8"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0.068</w:t>
            </w:r>
          </w:p>
        </w:tc>
        <w:tc>
          <w:tcPr>
            <w:tcW w:w="1560" w:type="dxa"/>
            <w:tcBorders>
              <w:top w:val="nil"/>
              <w:left w:val="nil"/>
              <w:bottom w:val="single" w:sz="4" w:space="0" w:color="auto"/>
              <w:right w:val="single" w:sz="4" w:space="0" w:color="auto"/>
            </w:tcBorders>
            <w:shd w:val="clear" w:color="auto" w:fill="auto"/>
            <w:noWrap/>
            <w:vAlign w:val="bottom"/>
            <w:hideMark/>
          </w:tcPr>
          <w:p w14:paraId="5AA01D60"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-0.0051</w:t>
            </w:r>
          </w:p>
        </w:tc>
        <w:tc>
          <w:tcPr>
            <w:tcW w:w="1448" w:type="dxa"/>
            <w:tcBorders>
              <w:top w:val="nil"/>
              <w:left w:val="nil"/>
              <w:bottom w:val="single" w:sz="4" w:space="0" w:color="auto"/>
              <w:right w:val="single" w:sz="4" w:space="0" w:color="auto"/>
            </w:tcBorders>
            <w:shd w:val="clear" w:color="auto" w:fill="auto"/>
            <w:noWrap/>
            <w:vAlign w:val="bottom"/>
            <w:hideMark/>
          </w:tcPr>
          <w:p w14:paraId="4B93D573"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0.1459</w:t>
            </w:r>
          </w:p>
        </w:tc>
      </w:tr>
      <w:tr w:rsidR="00547D4C" w:rsidRPr="00982FCB" w14:paraId="0867CEFC" w14:textId="77777777" w:rsidTr="00AE2850">
        <w:trPr>
          <w:trHeight w:val="28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1EC199" w14:textId="637CF9F3" w:rsidR="00547D4C" w:rsidRPr="00982FCB" w:rsidRDefault="00547D4C" w:rsidP="00545577">
            <w:pPr>
              <w:spacing w:after="0" w:line="240" w:lineRule="auto"/>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Eurozon</w:t>
            </w:r>
            <w:r w:rsidR="000A2DB8">
              <w:rPr>
                <w:rFonts w:ascii="Calibri" w:eastAsia="Times New Roman" w:hAnsi="Calibri" w:cs="Calibri"/>
                <w:color w:val="000000"/>
                <w:lang w:val="es-CL" w:eastAsia="es-CL"/>
              </w:rPr>
              <w:t>e I</w:t>
            </w:r>
            <w:r w:rsidR="000A2DB8" w:rsidRPr="00AF5A5E">
              <w:rPr>
                <w:rFonts w:ascii="Calibri" w:eastAsia="Times New Roman" w:hAnsi="Calibri" w:cs="Calibri"/>
                <w:color w:val="000000"/>
                <w:lang w:val="es-CL" w:eastAsia="es-CL"/>
              </w:rPr>
              <w:t>nf</w:t>
            </w:r>
            <w:r w:rsidR="000A2DB8">
              <w:rPr>
                <w:rFonts w:ascii="Calibri" w:eastAsia="Times New Roman" w:hAnsi="Calibri" w:cs="Calibri"/>
                <w:color w:val="000000"/>
                <w:lang w:val="es-CL" w:eastAsia="es-CL"/>
              </w:rPr>
              <w:t>.</w:t>
            </w:r>
          </w:p>
        </w:tc>
        <w:tc>
          <w:tcPr>
            <w:tcW w:w="1240" w:type="dxa"/>
            <w:tcBorders>
              <w:top w:val="nil"/>
              <w:left w:val="nil"/>
              <w:bottom w:val="single" w:sz="4" w:space="0" w:color="auto"/>
              <w:right w:val="single" w:sz="4" w:space="0" w:color="auto"/>
            </w:tcBorders>
            <w:shd w:val="clear" w:color="auto" w:fill="auto"/>
            <w:noWrap/>
            <w:vAlign w:val="bottom"/>
            <w:hideMark/>
          </w:tcPr>
          <w:p w14:paraId="00F5DAC3"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-0.0112</w:t>
            </w:r>
          </w:p>
        </w:tc>
        <w:tc>
          <w:tcPr>
            <w:tcW w:w="1240" w:type="dxa"/>
            <w:tcBorders>
              <w:top w:val="nil"/>
              <w:left w:val="nil"/>
              <w:bottom w:val="single" w:sz="4" w:space="0" w:color="auto"/>
              <w:right w:val="single" w:sz="4" w:space="0" w:color="auto"/>
            </w:tcBorders>
            <w:shd w:val="clear" w:color="auto" w:fill="auto"/>
            <w:noWrap/>
            <w:vAlign w:val="bottom"/>
            <w:hideMark/>
          </w:tcPr>
          <w:p w14:paraId="72D6110D"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0.0642</w:t>
            </w:r>
          </w:p>
        </w:tc>
        <w:tc>
          <w:tcPr>
            <w:tcW w:w="818" w:type="dxa"/>
            <w:tcBorders>
              <w:top w:val="nil"/>
              <w:left w:val="nil"/>
              <w:bottom w:val="single" w:sz="4" w:space="0" w:color="auto"/>
              <w:right w:val="single" w:sz="4" w:space="0" w:color="auto"/>
            </w:tcBorders>
            <w:shd w:val="clear" w:color="auto" w:fill="auto"/>
            <w:noWrap/>
            <w:vAlign w:val="bottom"/>
            <w:hideMark/>
          </w:tcPr>
          <w:p w14:paraId="195911FE"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-0.17</w:t>
            </w:r>
          </w:p>
        </w:tc>
        <w:tc>
          <w:tcPr>
            <w:tcW w:w="1134" w:type="dxa"/>
            <w:tcBorders>
              <w:top w:val="nil"/>
              <w:left w:val="nil"/>
              <w:bottom w:val="single" w:sz="4" w:space="0" w:color="auto"/>
              <w:right w:val="single" w:sz="4" w:space="0" w:color="auto"/>
            </w:tcBorders>
            <w:shd w:val="clear" w:color="auto" w:fill="auto"/>
            <w:noWrap/>
            <w:vAlign w:val="bottom"/>
            <w:hideMark/>
          </w:tcPr>
          <w:p w14:paraId="0913FC71"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0.861</w:t>
            </w:r>
          </w:p>
        </w:tc>
        <w:tc>
          <w:tcPr>
            <w:tcW w:w="1560" w:type="dxa"/>
            <w:tcBorders>
              <w:top w:val="nil"/>
              <w:left w:val="nil"/>
              <w:bottom w:val="single" w:sz="4" w:space="0" w:color="auto"/>
              <w:right w:val="single" w:sz="4" w:space="0" w:color="auto"/>
            </w:tcBorders>
            <w:shd w:val="clear" w:color="auto" w:fill="auto"/>
            <w:noWrap/>
            <w:vAlign w:val="bottom"/>
            <w:hideMark/>
          </w:tcPr>
          <w:p w14:paraId="5EC8333F"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-0.1371</w:t>
            </w:r>
          </w:p>
        </w:tc>
        <w:tc>
          <w:tcPr>
            <w:tcW w:w="1448" w:type="dxa"/>
            <w:tcBorders>
              <w:top w:val="nil"/>
              <w:left w:val="nil"/>
              <w:bottom w:val="single" w:sz="4" w:space="0" w:color="auto"/>
              <w:right w:val="single" w:sz="4" w:space="0" w:color="auto"/>
            </w:tcBorders>
            <w:shd w:val="clear" w:color="auto" w:fill="auto"/>
            <w:noWrap/>
            <w:vAlign w:val="bottom"/>
            <w:hideMark/>
          </w:tcPr>
          <w:p w14:paraId="4162DA91"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0.1146</w:t>
            </w:r>
          </w:p>
        </w:tc>
      </w:tr>
      <w:tr w:rsidR="00FA2E3E" w:rsidRPr="00982FCB" w14:paraId="07B36CAC" w14:textId="77777777" w:rsidTr="00AE2850">
        <w:trPr>
          <w:trHeight w:val="288"/>
        </w:trPr>
        <w:tc>
          <w:tcPr>
            <w:tcW w:w="1800" w:type="dxa"/>
            <w:tcBorders>
              <w:top w:val="nil"/>
              <w:left w:val="single" w:sz="4" w:space="0" w:color="auto"/>
              <w:bottom w:val="single" w:sz="4" w:space="0" w:color="auto"/>
              <w:right w:val="single" w:sz="4" w:space="0" w:color="auto"/>
            </w:tcBorders>
            <w:shd w:val="clear" w:color="auto" w:fill="auto"/>
            <w:noWrap/>
            <w:hideMark/>
          </w:tcPr>
          <w:p w14:paraId="117C5904" w14:textId="2EAFE4C9" w:rsidR="00FA2E3E" w:rsidRPr="00FA2E3E" w:rsidRDefault="0062217F" w:rsidP="00FA2E3E">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1</m:t>
                    </m:r>
                  </m:sub>
                </m:sSub>
              </m:oMath>
            </m:oMathPara>
          </w:p>
        </w:tc>
        <w:tc>
          <w:tcPr>
            <w:tcW w:w="1240" w:type="dxa"/>
            <w:tcBorders>
              <w:top w:val="nil"/>
              <w:left w:val="nil"/>
              <w:bottom w:val="single" w:sz="4" w:space="0" w:color="auto"/>
              <w:right w:val="single" w:sz="4" w:space="0" w:color="auto"/>
            </w:tcBorders>
            <w:shd w:val="clear" w:color="auto" w:fill="auto"/>
            <w:noWrap/>
            <w:vAlign w:val="bottom"/>
            <w:hideMark/>
          </w:tcPr>
          <w:p w14:paraId="6A6F9C28"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-0.0007</w:t>
            </w:r>
          </w:p>
        </w:tc>
        <w:tc>
          <w:tcPr>
            <w:tcW w:w="1240" w:type="dxa"/>
            <w:tcBorders>
              <w:top w:val="nil"/>
              <w:left w:val="nil"/>
              <w:bottom w:val="single" w:sz="4" w:space="0" w:color="auto"/>
              <w:right w:val="single" w:sz="4" w:space="0" w:color="auto"/>
            </w:tcBorders>
            <w:shd w:val="clear" w:color="auto" w:fill="auto"/>
            <w:noWrap/>
            <w:vAlign w:val="bottom"/>
            <w:hideMark/>
          </w:tcPr>
          <w:p w14:paraId="56C6A317"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0.0014</w:t>
            </w:r>
          </w:p>
        </w:tc>
        <w:tc>
          <w:tcPr>
            <w:tcW w:w="818" w:type="dxa"/>
            <w:tcBorders>
              <w:top w:val="nil"/>
              <w:left w:val="nil"/>
              <w:bottom w:val="single" w:sz="4" w:space="0" w:color="auto"/>
              <w:right w:val="single" w:sz="4" w:space="0" w:color="auto"/>
            </w:tcBorders>
            <w:shd w:val="clear" w:color="auto" w:fill="auto"/>
            <w:noWrap/>
            <w:vAlign w:val="bottom"/>
            <w:hideMark/>
          </w:tcPr>
          <w:p w14:paraId="1D6B8D2A"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-0.49</w:t>
            </w:r>
          </w:p>
        </w:tc>
        <w:tc>
          <w:tcPr>
            <w:tcW w:w="1134" w:type="dxa"/>
            <w:tcBorders>
              <w:top w:val="nil"/>
              <w:left w:val="nil"/>
              <w:bottom w:val="single" w:sz="4" w:space="0" w:color="auto"/>
              <w:right w:val="single" w:sz="4" w:space="0" w:color="auto"/>
            </w:tcBorders>
            <w:shd w:val="clear" w:color="auto" w:fill="auto"/>
            <w:noWrap/>
            <w:vAlign w:val="bottom"/>
            <w:hideMark/>
          </w:tcPr>
          <w:p w14:paraId="421335A3"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0.623</w:t>
            </w:r>
          </w:p>
        </w:tc>
        <w:tc>
          <w:tcPr>
            <w:tcW w:w="1560" w:type="dxa"/>
            <w:tcBorders>
              <w:top w:val="nil"/>
              <w:left w:val="nil"/>
              <w:bottom w:val="single" w:sz="4" w:space="0" w:color="auto"/>
              <w:right w:val="single" w:sz="4" w:space="0" w:color="auto"/>
            </w:tcBorders>
            <w:shd w:val="clear" w:color="auto" w:fill="auto"/>
            <w:noWrap/>
            <w:vAlign w:val="bottom"/>
            <w:hideMark/>
          </w:tcPr>
          <w:p w14:paraId="75FD7C96"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-0.0034</w:t>
            </w:r>
          </w:p>
        </w:tc>
        <w:tc>
          <w:tcPr>
            <w:tcW w:w="1448" w:type="dxa"/>
            <w:tcBorders>
              <w:top w:val="nil"/>
              <w:left w:val="nil"/>
              <w:bottom w:val="single" w:sz="4" w:space="0" w:color="auto"/>
              <w:right w:val="single" w:sz="4" w:space="0" w:color="auto"/>
            </w:tcBorders>
            <w:shd w:val="clear" w:color="auto" w:fill="auto"/>
            <w:noWrap/>
            <w:vAlign w:val="bottom"/>
            <w:hideMark/>
          </w:tcPr>
          <w:p w14:paraId="18A1868C"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0.0021</w:t>
            </w:r>
          </w:p>
        </w:tc>
      </w:tr>
      <w:tr w:rsidR="00FA2E3E" w:rsidRPr="00982FCB" w14:paraId="5EC4F662" w14:textId="77777777" w:rsidTr="00AE2850">
        <w:trPr>
          <w:trHeight w:val="288"/>
        </w:trPr>
        <w:tc>
          <w:tcPr>
            <w:tcW w:w="1800" w:type="dxa"/>
            <w:tcBorders>
              <w:top w:val="nil"/>
              <w:left w:val="single" w:sz="4" w:space="0" w:color="auto"/>
              <w:bottom w:val="single" w:sz="4" w:space="0" w:color="auto"/>
              <w:right w:val="single" w:sz="4" w:space="0" w:color="auto"/>
            </w:tcBorders>
            <w:shd w:val="clear" w:color="auto" w:fill="auto"/>
            <w:noWrap/>
            <w:hideMark/>
          </w:tcPr>
          <w:p w14:paraId="095CC4BA" w14:textId="789DB5E3" w:rsidR="00FA2E3E" w:rsidRPr="00FA2E3E" w:rsidRDefault="0062217F" w:rsidP="00FA2E3E">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2</m:t>
                    </m:r>
                  </m:sub>
                </m:sSub>
              </m:oMath>
            </m:oMathPara>
          </w:p>
        </w:tc>
        <w:tc>
          <w:tcPr>
            <w:tcW w:w="1240" w:type="dxa"/>
            <w:tcBorders>
              <w:top w:val="nil"/>
              <w:left w:val="nil"/>
              <w:bottom w:val="single" w:sz="4" w:space="0" w:color="auto"/>
              <w:right w:val="single" w:sz="4" w:space="0" w:color="auto"/>
            </w:tcBorders>
            <w:shd w:val="clear" w:color="auto" w:fill="auto"/>
            <w:noWrap/>
            <w:vAlign w:val="bottom"/>
            <w:hideMark/>
          </w:tcPr>
          <w:p w14:paraId="46F3B690"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-0.0011</w:t>
            </w:r>
          </w:p>
        </w:tc>
        <w:tc>
          <w:tcPr>
            <w:tcW w:w="1240" w:type="dxa"/>
            <w:tcBorders>
              <w:top w:val="nil"/>
              <w:left w:val="nil"/>
              <w:bottom w:val="single" w:sz="4" w:space="0" w:color="auto"/>
              <w:right w:val="single" w:sz="4" w:space="0" w:color="auto"/>
            </w:tcBorders>
            <w:shd w:val="clear" w:color="auto" w:fill="auto"/>
            <w:noWrap/>
            <w:vAlign w:val="bottom"/>
            <w:hideMark/>
          </w:tcPr>
          <w:p w14:paraId="0EAF857C"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0.0018</w:t>
            </w:r>
          </w:p>
        </w:tc>
        <w:tc>
          <w:tcPr>
            <w:tcW w:w="818" w:type="dxa"/>
            <w:tcBorders>
              <w:top w:val="nil"/>
              <w:left w:val="nil"/>
              <w:bottom w:val="single" w:sz="4" w:space="0" w:color="auto"/>
              <w:right w:val="single" w:sz="4" w:space="0" w:color="auto"/>
            </w:tcBorders>
            <w:shd w:val="clear" w:color="auto" w:fill="auto"/>
            <w:noWrap/>
            <w:vAlign w:val="bottom"/>
            <w:hideMark/>
          </w:tcPr>
          <w:p w14:paraId="7EA0B159"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-0.61</w:t>
            </w:r>
          </w:p>
        </w:tc>
        <w:tc>
          <w:tcPr>
            <w:tcW w:w="1134" w:type="dxa"/>
            <w:tcBorders>
              <w:top w:val="nil"/>
              <w:left w:val="nil"/>
              <w:bottom w:val="single" w:sz="4" w:space="0" w:color="auto"/>
              <w:right w:val="single" w:sz="4" w:space="0" w:color="auto"/>
            </w:tcBorders>
            <w:shd w:val="clear" w:color="auto" w:fill="auto"/>
            <w:noWrap/>
            <w:vAlign w:val="bottom"/>
            <w:hideMark/>
          </w:tcPr>
          <w:p w14:paraId="75C09239"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0.541</w:t>
            </w:r>
          </w:p>
        </w:tc>
        <w:tc>
          <w:tcPr>
            <w:tcW w:w="1560" w:type="dxa"/>
            <w:tcBorders>
              <w:top w:val="nil"/>
              <w:left w:val="nil"/>
              <w:bottom w:val="single" w:sz="4" w:space="0" w:color="auto"/>
              <w:right w:val="single" w:sz="4" w:space="0" w:color="auto"/>
            </w:tcBorders>
            <w:shd w:val="clear" w:color="auto" w:fill="auto"/>
            <w:noWrap/>
            <w:vAlign w:val="bottom"/>
            <w:hideMark/>
          </w:tcPr>
          <w:p w14:paraId="77B68E50"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-0.0046</w:t>
            </w:r>
          </w:p>
        </w:tc>
        <w:tc>
          <w:tcPr>
            <w:tcW w:w="1448" w:type="dxa"/>
            <w:tcBorders>
              <w:top w:val="nil"/>
              <w:left w:val="nil"/>
              <w:bottom w:val="single" w:sz="4" w:space="0" w:color="auto"/>
              <w:right w:val="single" w:sz="4" w:space="0" w:color="auto"/>
            </w:tcBorders>
            <w:shd w:val="clear" w:color="auto" w:fill="auto"/>
            <w:noWrap/>
            <w:vAlign w:val="bottom"/>
            <w:hideMark/>
          </w:tcPr>
          <w:p w14:paraId="317E8BC6"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0.0024</w:t>
            </w:r>
          </w:p>
        </w:tc>
      </w:tr>
      <w:tr w:rsidR="00FA2E3E" w:rsidRPr="00982FCB" w14:paraId="01C9A324" w14:textId="77777777" w:rsidTr="00AE2850">
        <w:trPr>
          <w:trHeight w:val="288"/>
        </w:trPr>
        <w:tc>
          <w:tcPr>
            <w:tcW w:w="1800" w:type="dxa"/>
            <w:tcBorders>
              <w:top w:val="nil"/>
              <w:left w:val="single" w:sz="4" w:space="0" w:color="auto"/>
              <w:bottom w:val="single" w:sz="4" w:space="0" w:color="auto"/>
              <w:right w:val="single" w:sz="4" w:space="0" w:color="auto"/>
            </w:tcBorders>
            <w:shd w:val="clear" w:color="auto" w:fill="auto"/>
            <w:noWrap/>
            <w:hideMark/>
          </w:tcPr>
          <w:p w14:paraId="452CE412" w14:textId="2089A26D" w:rsidR="00FA2E3E" w:rsidRPr="00FA2E3E" w:rsidRDefault="0062217F" w:rsidP="00FA2E3E">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3</m:t>
                    </m:r>
                  </m:sub>
                </m:sSub>
              </m:oMath>
            </m:oMathPara>
          </w:p>
        </w:tc>
        <w:tc>
          <w:tcPr>
            <w:tcW w:w="1240" w:type="dxa"/>
            <w:tcBorders>
              <w:top w:val="nil"/>
              <w:left w:val="nil"/>
              <w:bottom w:val="single" w:sz="4" w:space="0" w:color="auto"/>
              <w:right w:val="single" w:sz="4" w:space="0" w:color="auto"/>
            </w:tcBorders>
            <w:shd w:val="clear" w:color="auto" w:fill="auto"/>
            <w:noWrap/>
            <w:vAlign w:val="bottom"/>
            <w:hideMark/>
          </w:tcPr>
          <w:p w14:paraId="6636518A"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0.0011</w:t>
            </w:r>
          </w:p>
        </w:tc>
        <w:tc>
          <w:tcPr>
            <w:tcW w:w="1240" w:type="dxa"/>
            <w:tcBorders>
              <w:top w:val="nil"/>
              <w:left w:val="nil"/>
              <w:bottom w:val="single" w:sz="4" w:space="0" w:color="auto"/>
              <w:right w:val="single" w:sz="4" w:space="0" w:color="auto"/>
            </w:tcBorders>
            <w:shd w:val="clear" w:color="auto" w:fill="auto"/>
            <w:noWrap/>
            <w:vAlign w:val="bottom"/>
            <w:hideMark/>
          </w:tcPr>
          <w:p w14:paraId="4CE31484"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0.0011</w:t>
            </w:r>
          </w:p>
        </w:tc>
        <w:tc>
          <w:tcPr>
            <w:tcW w:w="818" w:type="dxa"/>
            <w:tcBorders>
              <w:top w:val="nil"/>
              <w:left w:val="nil"/>
              <w:bottom w:val="single" w:sz="4" w:space="0" w:color="auto"/>
              <w:right w:val="single" w:sz="4" w:space="0" w:color="auto"/>
            </w:tcBorders>
            <w:shd w:val="clear" w:color="auto" w:fill="auto"/>
            <w:noWrap/>
            <w:vAlign w:val="bottom"/>
            <w:hideMark/>
          </w:tcPr>
          <w:p w14:paraId="3E96EFAF"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1.01</w:t>
            </w:r>
          </w:p>
        </w:tc>
        <w:tc>
          <w:tcPr>
            <w:tcW w:w="1134" w:type="dxa"/>
            <w:tcBorders>
              <w:top w:val="nil"/>
              <w:left w:val="nil"/>
              <w:bottom w:val="single" w:sz="4" w:space="0" w:color="auto"/>
              <w:right w:val="single" w:sz="4" w:space="0" w:color="auto"/>
            </w:tcBorders>
            <w:shd w:val="clear" w:color="auto" w:fill="auto"/>
            <w:noWrap/>
            <w:vAlign w:val="bottom"/>
            <w:hideMark/>
          </w:tcPr>
          <w:p w14:paraId="3F75DD59"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0.311</w:t>
            </w:r>
          </w:p>
        </w:tc>
        <w:tc>
          <w:tcPr>
            <w:tcW w:w="1560" w:type="dxa"/>
            <w:tcBorders>
              <w:top w:val="nil"/>
              <w:left w:val="nil"/>
              <w:bottom w:val="single" w:sz="4" w:space="0" w:color="auto"/>
              <w:right w:val="single" w:sz="4" w:space="0" w:color="auto"/>
            </w:tcBorders>
            <w:shd w:val="clear" w:color="auto" w:fill="auto"/>
            <w:noWrap/>
            <w:vAlign w:val="bottom"/>
            <w:hideMark/>
          </w:tcPr>
          <w:p w14:paraId="27B971D4"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-0.0010</w:t>
            </w:r>
          </w:p>
        </w:tc>
        <w:tc>
          <w:tcPr>
            <w:tcW w:w="1448" w:type="dxa"/>
            <w:tcBorders>
              <w:top w:val="nil"/>
              <w:left w:val="nil"/>
              <w:bottom w:val="single" w:sz="4" w:space="0" w:color="auto"/>
              <w:right w:val="single" w:sz="4" w:space="0" w:color="auto"/>
            </w:tcBorders>
            <w:shd w:val="clear" w:color="auto" w:fill="auto"/>
            <w:noWrap/>
            <w:vAlign w:val="bottom"/>
            <w:hideMark/>
          </w:tcPr>
          <w:p w14:paraId="1050AB55"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0.0032</w:t>
            </w:r>
          </w:p>
        </w:tc>
      </w:tr>
      <w:tr w:rsidR="00FA2E3E" w:rsidRPr="00982FCB" w14:paraId="271872B2" w14:textId="77777777" w:rsidTr="00AE2850">
        <w:trPr>
          <w:trHeight w:val="288"/>
        </w:trPr>
        <w:tc>
          <w:tcPr>
            <w:tcW w:w="1800" w:type="dxa"/>
            <w:tcBorders>
              <w:top w:val="nil"/>
              <w:left w:val="single" w:sz="4" w:space="0" w:color="auto"/>
              <w:bottom w:val="single" w:sz="4" w:space="0" w:color="auto"/>
              <w:right w:val="single" w:sz="4" w:space="0" w:color="auto"/>
            </w:tcBorders>
            <w:shd w:val="clear" w:color="auto" w:fill="auto"/>
            <w:noWrap/>
            <w:hideMark/>
          </w:tcPr>
          <w:p w14:paraId="2F844597" w14:textId="4CCCA85B" w:rsidR="00FA2E3E" w:rsidRPr="00FA2E3E" w:rsidRDefault="0062217F" w:rsidP="00FA2E3E">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4</m:t>
                    </m:r>
                  </m:sub>
                </m:sSub>
              </m:oMath>
            </m:oMathPara>
          </w:p>
        </w:tc>
        <w:tc>
          <w:tcPr>
            <w:tcW w:w="1240" w:type="dxa"/>
            <w:tcBorders>
              <w:top w:val="nil"/>
              <w:left w:val="nil"/>
              <w:bottom w:val="single" w:sz="4" w:space="0" w:color="auto"/>
              <w:right w:val="single" w:sz="4" w:space="0" w:color="auto"/>
            </w:tcBorders>
            <w:shd w:val="clear" w:color="auto" w:fill="auto"/>
            <w:noWrap/>
            <w:vAlign w:val="bottom"/>
            <w:hideMark/>
          </w:tcPr>
          <w:p w14:paraId="006E7D77"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0.0022</w:t>
            </w:r>
          </w:p>
        </w:tc>
        <w:tc>
          <w:tcPr>
            <w:tcW w:w="1240" w:type="dxa"/>
            <w:tcBorders>
              <w:top w:val="nil"/>
              <w:left w:val="nil"/>
              <w:bottom w:val="single" w:sz="4" w:space="0" w:color="auto"/>
              <w:right w:val="single" w:sz="4" w:space="0" w:color="auto"/>
            </w:tcBorders>
            <w:shd w:val="clear" w:color="auto" w:fill="auto"/>
            <w:noWrap/>
            <w:vAlign w:val="bottom"/>
            <w:hideMark/>
          </w:tcPr>
          <w:p w14:paraId="29CFECEA"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0.0016</w:t>
            </w:r>
          </w:p>
        </w:tc>
        <w:tc>
          <w:tcPr>
            <w:tcW w:w="818" w:type="dxa"/>
            <w:tcBorders>
              <w:top w:val="nil"/>
              <w:left w:val="nil"/>
              <w:bottom w:val="single" w:sz="4" w:space="0" w:color="auto"/>
              <w:right w:val="single" w:sz="4" w:space="0" w:color="auto"/>
            </w:tcBorders>
            <w:shd w:val="clear" w:color="auto" w:fill="auto"/>
            <w:noWrap/>
            <w:vAlign w:val="bottom"/>
            <w:hideMark/>
          </w:tcPr>
          <w:p w14:paraId="28C086B5"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1.37</w:t>
            </w:r>
          </w:p>
        </w:tc>
        <w:tc>
          <w:tcPr>
            <w:tcW w:w="1134" w:type="dxa"/>
            <w:tcBorders>
              <w:top w:val="nil"/>
              <w:left w:val="nil"/>
              <w:bottom w:val="single" w:sz="4" w:space="0" w:color="auto"/>
              <w:right w:val="single" w:sz="4" w:space="0" w:color="auto"/>
            </w:tcBorders>
            <w:shd w:val="clear" w:color="auto" w:fill="auto"/>
            <w:noWrap/>
            <w:vAlign w:val="bottom"/>
            <w:hideMark/>
          </w:tcPr>
          <w:p w14:paraId="7CFC877C"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0.172</w:t>
            </w:r>
          </w:p>
        </w:tc>
        <w:tc>
          <w:tcPr>
            <w:tcW w:w="1560" w:type="dxa"/>
            <w:tcBorders>
              <w:top w:val="nil"/>
              <w:left w:val="nil"/>
              <w:bottom w:val="single" w:sz="4" w:space="0" w:color="auto"/>
              <w:right w:val="single" w:sz="4" w:space="0" w:color="auto"/>
            </w:tcBorders>
            <w:shd w:val="clear" w:color="auto" w:fill="auto"/>
            <w:noWrap/>
            <w:vAlign w:val="bottom"/>
            <w:hideMark/>
          </w:tcPr>
          <w:p w14:paraId="7EE68B4E"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-0.0009</w:t>
            </w:r>
          </w:p>
        </w:tc>
        <w:tc>
          <w:tcPr>
            <w:tcW w:w="1448" w:type="dxa"/>
            <w:tcBorders>
              <w:top w:val="nil"/>
              <w:left w:val="nil"/>
              <w:bottom w:val="single" w:sz="4" w:space="0" w:color="auto"/>
              <w:right w:val="single" w:sz="4" w:space="0" w:color="auto"/>
            </w:tcBorders>
            <w:shd w:val="clear" w:color="auto" w:fill="auto"/>
            <w:noWrap/>
            <w:vAlign w:val="bottom"/>
            <w:hideMark/>
          </w:tcPr>
          <w:p w14:paraId="6D7B1D1A"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0.0053</w:t>
            </w:r>
          </w:p>
        </w:tc>
      </w:tr>
      <w:tr w:rsidR="00FA2E3E" w:rsidRPr="00982FCB" w14:paraId="23DBCD04" w14:textId="77777777" w:rsidTr="00AE2850">
        <w:trPr>
          <w:trHeight w:val="288"/>
        </w:trPr>
        <w:tc>
          <w:tcPr>
            <w:tcW w:w="1800" w:type="dxa"/>
            <w:tcBorders>
              <w:top w:val="nil"/>
              <w:left w:val="single" w:sz="4" w:space="0" w:color="auto"/>
              <w:bottom w:val="single" w:sz="4" w:space="0" w:color="auto"/>
              <w:right w:val="single" w:sz="4" w:space="0" w:color="auto"/>
            </w:tcBorders>
            <w:shd w:val="clear" w:color="auto" w:fill="auto"/>
            <w:noWrap/>
            <w:hideMark/>
          </w:tcPr>
          <w:p w14:paraId="6FF4E111" w14:textId="1F2A9A83" w:rsidR="00FA2E3E" w:rsidRPr="00FA2E3E" w:rsidRDefault="0062217F" w:rsidP="00FA2E3E">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5</m:t>
                    </m:r>
                  </m:sub>
                </m:sSub>
              </m:oMath>
            </m:oMathPara>
          </w:p>
        </w:tc>
        <w:tc>
          <w:tcPr>
            <w:tcW w:w="1240" w:type="dxa"/>
            <w:tcBorders>
              <w:top w:val="nil"/>
              <w:left w:val="nil"/>
              <w:bottom w:val="single" w:sz="4" w:space="0" w:color="auto"/>
              <w:right w:val="single" w:sz="4" w:space="0" w:color="auto"/>
            </w:tcBorders>
            <w:shd w:val="clear" w:color="auto" w:fill="auto"/>
            <w:noWrap/>
            <w:vAlign w:val="bottom"/>
            <w:hideMark/>
          </w:tcPr>
          <w:p w14:paraId="206B312E"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0.0002</w:t>
            </w:r>
          </w:p>
        </w:tc>
        <w:tc>
          <w:tcPr>
            <w:tcW w:w="1240" w:type="dxa"/>
            <w:tcBorders>
              <w:top w:val="nil"/>
              <w:left w:val="nil"/>
              <w:bottom w:val="single" w:sz="4" w:space="0" w:color="auto"/>
              <w:right w:val="single" w:sz="4" w:space="0" w:color="auto"/>
            </w:tcBorders>
            <w:shd w:val="clear" w:color="auto" w:fill="auto"/>
            <w:noWrap/>
            <w:vAlign w:val="bottom"/>
            <w:hideMark/>
          </w:tcPr>
          <w:p w14:paraId="4B4A69AF"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0.0017</w:t>
            </w:r>
          </w:p>
        </w:tc>
        <w:tc>
          <w:tcPr>
            <w:tcW w:w="818" w:type="dxa"/>
            <w:tcBorders>
              <w:top w:val="nil"/>
              <w:left w:val="nil"/>
              <w:bottom w:val="single" w:sz="4" w:space="0" w:color="auto"/>
              <w:right w:val="single" w:sz="4" w:space="0" w:color="auto"/>
            </w:tcBorders>
            <w:shd w:val="clear" w:color="auto" w:fill="auto"/>
            <w:noWrap/>
            <w:vAlign w:val="bottom"/>
            <w:hideMark/>
          </w:tcPr>
          <w:p w14:paraId="00C52C5B"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0.13</w:t>
            </w:r>
          </w:p>
        </w:tc>
        <w:tc>
          <w:tcPr>
            <w:tcW w:w="1134" w:type="dxa"/>
            <w:tcBorders>
              <w:top w:val="nil"/>
              <w:left w:val="nil"/>
              <w:bottom w:val="single" w:sz="4" w:space="0" w:color="auto"/>
              <w:right w:val="single" w:sz="4" w:space="0" w:color="auto"/>
            </w:tcBorders>
            <w:shd w:val="clear" w:color="auto" w:fill="auto"/>
            <w:noWrap/>
            <w:vAlign w:val="bottom"/>
            <w:hideMark/>
          </w:tcPr>
          <w:p w14:paraId="27434101"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0.899</w:t>
            </w:r>
          </w:p>
        </w:tc>
        <w:tc>
          <w:tcPr>
            <w:tcW w:w="1560" w:type="dxa"/>
            <w:tcBorders>
              <w:top w:val="nil"/>
              <w:left w:val="nil"/>
              <w:bottom w:val="single" w:sz="4" w:space="0" w:color="auto"/>
              <w:right w:val="single" w:sz="4" w:space="0" w:color="auto"/>
            </w:tcBorders>
            <w:shd w:val="clear" w:color="auto" w:fill="auto"/>
            <w:noWrap/>
            <w:vAlign w:val="bottom"/>
            <w:hideMark/>
          </w:tcPr>
          <w:p w14:paraId="5A2181B4"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-0.0032</w:t>
            </w:r>
          </w:p>
        </w:tc>
        <w:tc>
          <w:tcPr>
            <w:tcW w:w="1448" w:type="dxa"/>
            <w:tcBorders>
              <w:top w:val="nil"/>
              <w:left w:val="nil"/>
              <w:bottom w:val="single" w:sz="4" w:space="0" w:color="auto"/>
              <w:right w:val="single" w:sz="4" w:space="0" w:color="auto"/>
            </w:tcBorders>
            <w:shd w:val="clear" w:color="auto" w:fill="auto"/>
            <w:noWrap/>
            <w:vAlign w:val="bottom"/>
            <w:hideMark/>
          </w:tcPr>
          <w:p w14:paraId="5279C087"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0.0036</w:t>
            </w:r>
          </w:p>
        </w:tc>
      </w:tr>
      <w:tr w:rsidR="00FA2E3E" w:rsidRPr="00982FCB" w14:paraId="5FFAB644" w14:textId="77777777" w:rsidTr="00AE2850">
        <w:trPr>
          <w:trHeight w:val="288"/>
        </w:trPr>
        <w:tc>
          <w:tcPr>
            <w:tcW w:w="1800" w:type="dxa"/>
            <w:tcBorders>
              <w:top w:val="nil"/>
              <w:left w:val="single" w:sz="4" w:space="0" w:color="auto"/>
              <w:bottom w:val="single" w:sz="4" w:space="0" w:color="auto"/>
              <w:right w:val="single" w:sz="4" w:space="0" w:color="auto"/>
            </w:tcBorders>
            <w:shd w:val="clear" w:color="auto" w:fill="auto"/>
            <w:noWrap/>
            <w:hideMark/>
          </w:tcPr>
          <w:p w14:paraId="4254E15A" w14:textId="18C7185A" w:rsidR="00FA2E3E" w:rsidRPr="00FA2E3E" w:rsidRDefault="0062217F" w:rsidP="00FA2E3E">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6</m:t>
                    </m:r>
                  </m:sub>
                </m:sSub>
              </m:oMath>
            </m:oMathPara>
          </w:p>
        </w:tc>
        <w:tc>
          <w:tcPr>
            <w:tcW w:w="1240" w:type="dxa"/>
            <w:tcBorders>
              <w:top w:val="nil"/>
              <w:left w:val="nil"/>
              <w:bottom w:val="single" w:sz="4" w:space="0" w:color="auto"/>
              <w:right w:val="single" w:sz="4" w:space="0" w:color="auto"/>
            </w:tcBorders>
            <w:shd w:val="clear" w:color="auto" w:fill="auto"/>
            <w:noWrap/>
            <w:vAlign w:val="bottom"/>
            <w:hideMark/>
          </w:tcPr>
          <w:p w14:paraId="4D561DCD"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-0.0015</w:t>
            </w:r>
          </w:p>
        </w:tc>
        <w:tc>
          <w:tcPr>
            <w:tcW w:w="1240" w:type="dxa"/>
            <w:tcBorders>
              <w:top w:val="nil"/>
              <w:left w:val="nil"/>
              <w:bottom w:val="single" w:sz="4" w:space="0" w:color="auto"/>
              <w:right w:val="single" w:sz="4" w:space="0" w:color="auto"/>
            </w:tcBorders>
            <w:shd w:val="clear" w:color="auto" w:fill="auto"/>
            <w:noWrap/>
            <w:vAlign w:val="bottom"/>
            <w:hideMark/>
          </w:tcPr>
          <w:p w14:paraId="7BC20EB8"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0.0017</w:t>
            </w:r>
          </w:p>
        </w:tc>
        <w:tc>
          <w:tcPr>
            <w:tcW w:w="818" w:type="dxa"/>
            <w:tcBorders>
              <w:top w:val="nil"/>
              <w:left w:val="nil"/>
              <w:bottom w:val="single" w:sz="4" w:space="0" w:color="auto"/>
              <w:right w:val="single" w:sz="4" w:space="0" w:color="auto"/>
            </w:tcBorders>
            <w:shd w:val="clear" w:color="auto" w:fill="auto"/>
            <w:noWrap/>
            <w:vAlign w:val="bottom"/>
            <w:hideMark/>
          </w:tcPr>
          <w:p w14:paraId="5EBBB376"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-0.88</w:t>
            </w:r>
          </w:p>
        </w:tc>
        <w:tc>
          <w:tcPr>
            <w:tcW w:w="1134" w:type="dxa"/>
            <w:tcBorders>
              <w:top w:val="nil"/>
              <w:left w:val="nil"/>
              <w:bottom w:val="single" w:sz="4" w:space="0" w:color="auto"/>
              <w:right w:val="single" w:sz="4" w:space="0" w:color="auto"/>
            </w:tcBorders>
            <w:shd w:val="clear" w:color="auto" w:fill="auto"/>
            <w:noWrap/>
            <w:vAlign w:val="bottom"/>
            <w:hideMark/>
          </w:tcPr>
          <w:p w14:paraId="61E09134"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0.376</w:t>
            </w:r>
          </w:p>
        </w:tc>
        <w:tc>
          <w:tcPr>
            <w:tcW w:w="1560" w:type="dxa"/>
            <w:tcBorders>
              <w:top w:val="nil"/>
              <w:left w:val="nil"/>
              <w:bottom w:val="single" w:sz="4" w:space="0" w:color="auto"/>
              <w:right w:val="single" w:sz="4" w:space="0" w:color="auto"/>
            </w:tcBorders>
            <w:shd w:val="clear" w:color="auto" w:fill="auto"/>
            <w:noWrap/>
            <w:vAlign w:val="bottom"/>
            <w:hideMark/>
          </w:tcPr>
          <w:p w14:paraId="7F2F61D6"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-0.0048</w:t>
            </w:r>
          </w:p>
        </w:tc>
        <w:tc>
          <w:tcPr>
            <w:tcW w:w="1448" w:type="dxa"/>
            <w:tcBorders>
              <w:top w:val="nil"/>
              <w:left w:val="nil"/>
              <w:bottom w:val="single" w:sz="4" w:space="0" w:color="auto"/>
              <w:right w:val="single" w:sz="4" w:space="0" w:color="auto"/>
            </w:tcBorders>
            <w:shd w:val="clear" w:color="auto" w:fill="auto"/>
            <w:noWrap/>
            <w:vAlign w:val="bottom"/>
            <w:hideMark/>
          </w:tcPr>
          <w:p w14:paraId="57C948CD" w14:textId="77777777" w:rsidR="00FA2E3E" w:rsidRPr="00982FCB" w:rsidRDefault="00FA2E3E" w:rsidP="00FA2E3E">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0.0018</w:t>
            </w:r>
          </w:p>
        </w:tc>
      </w:tr>
      <w:tr w:rsidR="00547D4C" w:rsidRPr="00982FCB" w14:paraId="2A24F7A8" w14:textId="77777777" w:rsidTr="00AE2850">
        <w:trPr>
          <w:trHeight w:val="28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2F27B8" w14:textId="59EAD111" w:rsidR="00547D4C" w:rsidRPr="00982FCB" w:rsidRDefault="00547D4C" w:rsidP="00545577">
            <w:pPr>
              <w:spacing w:after="0" w:line="240" w:lineRule="auto"/>
              <w:rPr>
                <w:rFonts w:ascii="Calibri" w:eastAsia="Times New Roman" w:hAnsi="Calibri" w:cs="Calibri"/>
                <w:color w:val="000000"/>
                <w:lang w:val="es-CL" w:eastAsia="es-CL"/>
              </w:rPr>
            </w:pPr>
            <w:r w:rsidRPr="00AF5A5E">
              <w:rPr>
                <w:rFonts w:ascii="Calibri" w:eastAsia="Times New Roman" w:hAnsi="Calibri" w:cs="Calibri"/>
                <w:color w:val="000000"/>
                <w:lang w:val="es-CL" w:eastAsia="es-CL"/>
              </w:rPr>
              <w:t>Chile</w:t>
            </w:r>
            <w:r w:rsidR="000A2DB8">
              <w:rPr>
                <w:rFonts w:ascii="Calibri" w:eastAsia="Times New Roman" w:hAnsi="Calibri" w:cs="Calibri"/>
                <w:color w:val="000000"/>
                <w:lang w:val="es-CL" w:eastAsia="es-CL"/>
              </w:rPr>
              <w:t xml:space="preserve"> I</w:t>
            </w:r>
            <w:r w:rsidR="000A2DB8" w:rsidRPr="00AF5A5E">
              <w:rPr>
                <w:rFonts w:ascii="Calibri" w:eastAsia="Times New Roman" w:hAnsi="Calibri" w:cs="Calibri"/>
                <w:color w:val="000000"/>
                <w:lang w:val="es-CL" w:eastAsia="es-CL"/>
              </w:rPr>
              <w:t>nf</w:t>
            </w:r>
            <w:r w:rsidR="000A2DB8">
              <w:rPr>
                <w:rFonts w:ascii="Calibri" w:eastAsia="Times New Roman" w:hAnsi="Calibri" w:cs="Calibri"/>
                <w:color w:val="000000"/>
                <w:lang w:val="es-CL" w:eastAsia="es-CL"/>
              </w:rPr>
              <w:t>.</w:t>
            </w:r>
            <w:r w:rsidRPr="00AF5A5E">
              <w:rPr>
                <w:rFonts w:ascii="Calibri" w:eastAsia="Times New Roman" w:hAnsi="Calibri" w:cs="Calibri"/>
                <w:color w:val="000000"/>
                <w:lang w:val="es-CL" w:eastAsia="es-CL"/>
              </w:rPr>
              <w:t xml:space="preserve"> </w:t>
            </w:r>
            <m:oMath>
              <m:sSub>
                <m:sSubPr>
                  <m:ctrlPr>
                    <w:rPr>
                      <w:rFonts w:ascii="Cambria Math" w:eastAsia="Times New Roman" w:hAnsi="Cambria Math" w:cs="Calibri"/>
                      <w:iCs/>
                      <w:color w:val="000000"/>
                    </w:rPr>
                  </m:ctrlPr>
                </m:sSubPr>
                <m:e>
                  <m:r>
                    <m:rPr>
                      <m:sty m:val="p"/>
                    </m:rPr>
                    <w:rPr>
                      <w:rFonts w:ascii="Cambria Math" w:eastAsia="Times New Roman" w:hAnsi="Cambria Math" w:cs="Calibri"/>
                      <w:color w:val="000000"/>
                    </w:rPr>
                    <m:t>L</m:t>
                  </m:r>
                </m:e>
                <m:sub>
                  <m:r>
                    <m:rPr>
                      <m:sty m:val="p"/>
                    </m:rPr>
                    <w:rPr>
                      <w:rFonts w:ascii="Cambria Math" w:eastAsia="Times New Roman" w:hAnsi="Cambria Math" w:cs="Calibri"/>
                      <w:color w:val="000000"/>
                    </w:rPr>
                    <m:t>1</m:t>
                  </m:r>
                </m:sub>
              </m:sSub>
            </m:oMath>
          </w:p>
        </w:tc>
        <w:tc>
          <w:tcPr>
            <w:tcW w:w="1240" w:type="dxa"/>
            <w:tcBorders>
              <w:top w:val="nil"/>
              <w:left w:val="nil"/>
              <w:bottom w:val="single" w:sz="4" w:space="0" w:color="auto"/>
              <w:right w:val="single" w:sz="4" w:space="0" w:color="auto"/>
            </w:tcBorders>
            <w:shd w:val="clear" w:color="auto" w:fill="auto"/>
            <w:noWrap/>
            <w:vAlign w:val="bottom"/>
            <w:hideMark/>
          </w:tcPr>
          <w:p w14:paraId="1C138F98"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0.3383</w:t>
            </w:r>
          </w:p>
        </w:tc>
        <w:tc>
          <w:tcPr>
            <w:tcW w:w="1240" w:type="dxa"/>
            <w:tcBorders>
              <w:top w:val="nil"/>
              <w:left w:val="nil"/>
              <w:bottom w:val="single" w:sz="4" w:space="0" w:color="auto"/>
              <w:right w:val="single" w:sz="4" w:space="0" w:color="auto"/>
            </w:tcBorders>
            <w:shd w:val="clear" w:color="auto" w:fill="auto"/>
            <w:noWrap/>
            <w:vAlign w:val="bottom"/>
            <w:hideMark/>
          </w:tcPr>
          <w:p w14:paraId="35787437"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0.0702</w:t>
            </w:r>
          </w:p>
        </w:tc>
        <w:tc>
          <w:tcPr>
            <w:tcW w:w="818" w:type="dxa"/>
            <w:tcBorders>
              <w:top w:val="nil"/>
              <w:left w:val="nil"/>
              <w:bottom w:val="single" w:sz="4" w:space="0" w:color="auto"/>
              <w:right w:val="single" w:sz="4" w:space="0" w:color="auto"/>
            </w:tcBorders>
            <w:shd w:val="clear" w:color="auto" w:fill="auto"/>
            <w:noWrap/>
            <w:vAlign w:val="bottom"/>
            <w:hideMark/>
          </w:tcPr>
          <w:p w14:paraId="690F2C15"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4.82</w:t>
            </w:r>
          </w:p>
        </w:tc>
        <w:tc>
          <w:tcPr>
            <w:tcW w:w="1134" w:type="dxa"/>
            <w:tcBorders>
              <w:top w:val="nil"/>
              <w:left w:val="nil"/>
              <w:bottom w:val="single" w:sz="4" w:space="0" w:color="auto"/>
              <w:right w:val="single" w:sz="4" w:space="0" w:color="auto"/>
            </w:tcBorders>
            <w:shd w:val="clear" w:color="auto" w:fill="auto"/>
            <w:noWrap/>
            <w:vAlign w:val="bottom"/>
            <w:hideMark/>
          </w:tcPr>
          <w:p w14:paraId="061B1420"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w:t>
            </w:r>
          </w:p>
        </w:tc>
        <w:tc>
          <w:tcPr>
            <w:tcW w:w="1560" w:type="dxa"/>
            <w:tcBorders>
              <w:top w:val="nil"/>
              <w:left w:val="nil"/>
              <w:bottom w:val="single" w:sz="4" w:space="0" w:color="auto"/>
              <w:right w:val="single" w:sz="4" w:space="0" w:color="auto"/>
            </w:tcBorders>
            <w:shd w:val="clear" w:color="auto" w:fill="auto"/>
            <w:noWrap/>
            <w:vAlign w:val="bottom"/>
            <w:hideMark/>
          </w:tcPr>
          <w:p w14:paraId="57DFB1B7"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0.2006</w:t>
            </w:r>
          </w:p>
        </w:tc>
        <w:tc>
          <w:tcPr>
            <w:tcW w:w="1448" w:type="dxa"/>
            <w:tcBorders>
              <w:top w:val="nil"/>
              <w:left w:val="nil"/>
              <w:bottom w:val="single" w:sz="4" w:space="0" w:color="auto"/>
              <w:right w:val="single" w:sz="4" w:space="0" w:color="auto"/>
            </w:tcBorders>
            <w:shd w:val="clear" w:color="auto" w:fill="auto"/>
            <w:noWrap/>
            <w:vAlign w:val="bottom"/>
            <w:hideMark/>
          </w:tcPr>
          <w:p w14:paraId="3BB1AC1F"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0.4759</w:t>
            </w:r>
          </w:p>
        </w:tc>
      </w:tr>
      <w:tr w:rsidR="00547D4C" w:rsidRPr="00982FCB" w14:paraId="34835514" w14:textId="77777777" w:rsidTr="00AE2850">
        <w:trPr>
          <w:trHeight w:val="28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3DAC10" w14:textId="234EEB3F" w:rsidR="00547D4C" w:rsidRPr="00982FCB" w:rsidRDefault="000A2DB8" w:rsidP="00545577">
            <w:pPr>
              <w:spacing w:after="0" w:line="240" w:lineRule="auto"/>
              <w:rPr>
                <w:rFonts w:ascii="Calibri" w:eastAsia="Times New Roman" w:hAnsi="Calibri" w:cs="Calibri"/>
                <w:color w:val="000000"/>
                <w:lang w:val="es-CL" w:eastAsia="es-CL"/>
              </w:rPr>
            </w:pPr>
            <m:oMath>
              <m:r>
                <w:rPr>
                  <w:rFonts w:ascii="Cambria Math" w:eastAsia="Times New Roman" w:hAnsi="Cambria Math" w:cs="Calibri"/>
                  <w:color w:val="000000"/>
                  <w:lang w:val="es-CL" w:eastAsia="es-CL"/>
                </w:rPr>
                <m:t>∆</m:t>
              </m:r>
            </m:oMath>
            <w:r w:rsidR="00547D4C" w:rsidRPr="00AF5A5E">
              <w:rPr>
                <w:rFonts w:ascii="Calibri" w:eastAsia="Times New Roman" w:hAnsi="Calibri" w:cs="Calibri"/>
                <w:color w:val="000000"/>
                <w:lang w:val="es-CL" w:eastAsia="es-CL"/>
              </w:rPr>
              <w:t>IMACEC</w:t>
            </w:r>
          </w:p>
        </w:tc>
        <w:tc>
          <w:tcPr>
            <w:tcW w:w="1240" w:type="dxa"/>
            <w:tcBorders>
              <w:top w:val="nil"/>
              <w:left w:val="nil"/>
              <w:bottom w:val="single" w:sz="4" w:space="0" w:color="auto"/>
              <w:right w:val="single" w:sz="4" w:space="0" w:color="auto"/>
            </w:tcBorders>
            <w:shd w:val="clear" w:color="auto" w:fill="auto"/>
            <w:noWrap/>
            <w:vAlign w:val="bottom"/>
            <w:hideMark/>
          </w:tcPr>
          <w:p w14:paraId="43FEDF51"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0.0058</w:t>
            </w:r>
          </w:p>
        </w:tc>
        <w:tc>
          <w:tcPr>
            <w:tcW w:w="1240" w:type="dxa"/>
            <w:tcBorders>
              <w:top w:val="nil"/>
              <w:left w:val="nil"/>
              <w:bottom w:val="single" w:sz="4" w:space="0" w:color="auto"/>
              <w:right w:val="single" w:sz="4" w:space="0" w:color="auto"/>
            </w:tcBorders>
            <w:shd w:val="clear" w:color="auto" w:fill="auto"/>
            <w:noWrap/>
            <w:vAlign w:val="bottom"/>
            <w:hideMark/>
          </w:tcPr>
          <w:p w14:paraId="23CA09C8"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0.0049</w:t>
            </w:r>
          </w:p>
        </w:tc>
        <w:tc>
          <w:tcPr>
            <w:tcW w:w="818" w:type="dxa"/>
            <w:tcBorders>
              <w:top w:val="nil"/>
              <w:left w:val="nil"/>
              <w:bottom w:val="single" w:sz="4" w:space="0" w:color="auto"/>
              <w:right w:val="single" w:sz="4" w:space="0" w:color="auto"/>
            </w:tcBorders>
            <w:shd w:val="clear" w:color="auto" w:fill="auto"/>
            <w:noWrap/>
            <w:vAlign w:val="bottom"/>
            <w:hideMark/>
          </w:tcPr>
          <w:p w14:paraId="18E611F4"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1.19</w:t>
            </w:r>
          </w:p>
        </w:tc>
        <w:tc>
          <w:tcPr>
            <w:tcW w:w="1134" w:type="dxa"/>
            <w:tcBorders>
              <w:top w:val="nil"/>
              <w:left w:val="nil"/>
              <w:bottom w:val="single" w:sz="4" w:space="0" w:color="auto"/>
              <w:right w:val="single" w:sz="4" w:space="0" w:color="auto"/>
            </w:tcBorders>
            <w:shd w:val="clear" w:color="auto" w:fill="auto"/>
            <w:noWrap/>
            <w:vAlign w:val="bottom"/>
            <w:hideMark/>
          </w:tcPr>
          <w:p w14:paraId="4D4B7E61"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0.234</w:t>
            </w:r>
          </w:p>
        </w:tc>
        <w:tc>
          <w:tcPr>
            <w:tcW w:w="1560" w:type="dxa"/>
            <w:tcBorders>
              <w:top w:val="nil"/>
              <w:left w:val="nil"/>
              <w:bottom w:val="single" w:sz="4" w:space="0" w:color="auto"/>
              <w:right w:val="single" w:sz="4" w:space="0" w:color="auto"/>
            </w:tcBorders>
            <w:shd w:val="clear" w:color="auto" w:fill="auto"/>
            <w:noWrap/>
            <w:vAlign w:val="bottom"/>
            <w:hideMark/>
          </w:tcPr>
          <w:p w14:paraId="643C26AD"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-0.0038</w:t>
            </w:r>
          </w:p>
        </w:tc>
        <w:tc>
          <w:tcPr>
            <w:tcW w:w="1448" w:type="dxa"/>
            <w:tcBorders>
              <w:top w:val="nil"/>
              <w:left w:val="nil"/>
              <w:bottom w:val="single" w:sz="4" w:space="0" w:color="auto"/>
              <w:right w:val="single" w:sz="4" w:space="0" w:color="auto"/>
            </w:tcBorders>
            <w:shd w:val="clear" w:color="auto" w:fill="auto"/>
            <w:noWrap/>
            <w:vAlign w:val="bottom"/>
            <w:hideMark/>
          </w:tcPr>
          <w:p w14:paraId="72A4BA13"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0.0154</w:t>
            </w:r>
          </w:p>
        </w:tc>
      </w:tr>
      <w:tr w:rsidR="00547D4C" w:rsidRPr="00982FCB" w14:paraId="28D2ACC5" w14:textId="77777777" w:rsidTr="00AE2850">
        <w:trPr>
          <w:trHeight w:val="28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63A294" w14:textId="77777777" w:rsidR="00547D4C" w:rsidRPr="00982FCB" w:rsidRDefault="0062217F" w:rsidP="00545577">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γ</m:t>
                    </m:r>
                  </m:e>
                  <m:sub>
                    <m:r>
                      <w:rPr>
                        <w:rFonts w:ascii="Cambria Math" w:eastAsiaTheme="minorEastAsia" w:hAnsi="Cambria Math"/>
                        <w:sz w:val="24"/>
                        <w:szCs w:val="24"/>
                        <w:lang w:val="es-CL"/>
                      </w:rPr>
                      <m:t>0</m:t>
                    </m:r>
                  </m:sub>
                </m:sSub>
              </m:oMath>
            </m:oMathPara>
          </w:p>
        </w:tc>
        <w:tc>
          <w:tcPr>
            <w:tcW w:w="1240" w:type="dxa"/>
            <w:tcBorders>
              <w:top w:val="nil"/>
              <w:left w:val="nil"/>
              <w:bottom w:val="single" w:sz="4" w:space="0" w:color="auto"/>
              <w:right w:val="single" w:sz="4" w:space="0" w:color="auto"/>
            </w:tcBorders>
            <w:shd w:val="clear" w:color="auto" w:fill="auto"/>
            <w:noWrap/>
            <w:vAlign w:val="bottom"/>
            <w:hideMark/>
          </w:tcPr>
          <w:p w14:paraId="6260D816"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0.0004</w:t>
            </w:r>
          </w:p>
        </w:tc>
        <w:tc>
          <w:tcPr>
            <w:tcW w:w="1240" w:type="dxa"/>
            <w:tcBorders>
              <w:top w:val="nil"/>
              <w:left w:val="nil"/>
              <w:bottom w:val="single" w:sz="4" w:space="0" w:color="auto"/>
              <w:right w:val="single" w:sz="4" w:space="0" w:color="auto"/>
            </w:tcBorders>
            <w:shd w:val="clear" w:color="auto" w:fill="auto"/>
            <w:noWrap/>
            <w:vAlign w:val="bottom"/>
            <w:hideMark/>
          </w:tcPr>
          <w:p w14:paraId="384EB968"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0.0003</w:t>
            </w:r>
          </w:p>
        </w:tc>
        <w:tc>
          <w:tcPr>
            <w:tcW w:w="818" w:type="dxa"/>
            <w:tcBorders>
              <w:top w:val="nil"/>
              <w:left w:val="nil"/>
              <w:bottom w:val="single" w:sz="4" w:space="0" w:color="auto"/>
              <w:right w:val="single" w:sz="4" w:space="0" w:color="auto"/>
            </w:tcBorders>
            <w:shd w:val="clear" w:color="auto" w:fill="auto"/>
            <w:noWrap/>
            <w:vAlign w:val="bottom"/>
            <w:hideMark/>
          </w:tcPr>
          <w:p w14:paraId="3F2B9676"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1.46</w:t>
            </w:r>
          </w:p>
        </w:tc>
        <w:tc>
          <w:tcPr>
            <w:tcW w:w="1134" w:type="dxa"/>
            <w:tcBorders>
              <w:top w:val="nil"/>
              <w:left w:val="nil"/>
              <w:bottom w:val="single" w:sz="4" w:space="0" w:color="auto"/>
              <w:right w:val="single" w:sz="4" w:space="0" w:color="auto"/>
            </w:tcBorders>
            <w:shd w:val="clear" w:color="auto" w:fill="auto"/>
            <w:noWrap/>
            <w:vAlign w:val="bottom"/>
            <w:hideMark/>
          </w:tcPr>
          <w:p w14:paraId="0637F1E1"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0.144</w:t>
            </w:r>
          </w:p>
        </w:tc>
        <w:tc>
          <w:tcPr>
            <w:tcW w:w="1560" w:type="dxa"/>
            <w:tcBorders>
              <w:top w:val="nil"/>
              <w:left w:val="nil"/>
              <w:bottom w:val="single" w:sz="4" w:space="0" w:color="auto"/>
              <w:right w:val="single" w:sz="4" w:space="0" w:color="auto"/>
            </w:tcBorders>
            <w:shd w:val="clear" w:color="auto" w:fill="auto"/>
            <w:noWrap/>
            <w:vAlign w:val="bottom"/>
            <w:hideMark/>
          </w:tcPr>
          <w:p w14:paraId="2B470361"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-0.0002</w:t>
            </w:r>
          </w:p>
        </w:tc>
        <w:tc>
          <w:tcPr>
            <w:tcW w:w="1448" w:type="dxa"/>
            <w:tcBorders>
              <w:top w:val="nil"/>
              <w:left w:val="nil"/>
              <w:bottom w:val="single" w:sz="4" w:space="0" w:color="auto"/>
              <w:right w:val="single" w:sz="4" w:space="0" w:color="auto"/>
            </w:tcBorders>
            <w:shd w:val="clear" w:color="auto" w:fill="auto"/>
            <w:noWrap/>
            <w:vAlign w:val="bottom"/>
            <w:hideMark/>
          </w:tcPr>
          <w:p w14:paraId="5E597462" w14:textId="77777777" w:rsidR="00547D4C" w:rsidRPr="00982FCB" w:rsidRDefault="00547D4C" w:rsidP="00545577">
            <w:pPr>
              <w:spacing w:after="0" w:line="240" w:lineRule="auto"/>
              <w:jc w:val="right"/>
              <w:rPr>
                <w:rFonts w:ascii="Calibri" w:eastAsia="Times New Roman" w:hAnsi="Calibri" w:cs="Calibri"/>
                <w:color w:val="000000"/>
                <w:lang w:val="es-CL" w:eastAsia="es-CL"/>
              </w:rPr>
            </w:pPr>
            <w:r w:rsidRPr="00982FCB">
              <w:rPr>
                <w:rFonts w:ascii="Calibri" w:eastAsia="Times New Roman" w:hAnsi="Calibri" w:cs="Calibri"/>
                <w:color w:val="000000"/>
                <w:lang w:val="es-CL" w:eastAsia="es-CL"/>
              </w:rPr>
              <w:t>0.0010</w:t>
            </w:r>
          </w:p>
        </w:tc>
      </w:tr>
    </w:tbl>
    <w:p w14:paraId="2E07D456" w14:textId="2DC7B0D3" w:rsidR="00E3292E" w:rsidRDefault="00E3292E" w:rsidP="00547D4C">
      <w:pPr>
        <w:jc w:val="both"/>
        <w:rPr>
          <w:sz w:val="24"/>
          <w:szCs w:val="24"/>
          <w:lang w:val="es-CL"/>
        </w:rPr>
      </w:pPr>
    </w:p>
    <w:p w14:paraId="60D76651" w14:textId="77777777" w:rsidR="00E3292E" w:rsidRDefault="00E3292E" w:rsidP="00547D4C">
      <w:pPr>
        <w:jc w:val="both"/>
        <w:rPr>
          <w:sz w:val="24"/>
          <w:szCs w:val="24"/>
          <w:lang w:val="es-CL"/>
        </w:rPr>
      </w:pPr>
    </w:p>
    <w:p w14:paraId="778CEA1B" w14:textId="0C78387A" w:rsidR="00E326F2" w:rsidRPr="00E326F2" w:rsidRDefault="005314EF" w:rsidP="00E326F2">
      <w:pPr>
        <w:pStyle w:val="Prrafodelista"/>
        <w:numPr>
          <w:ilvl w:val="0"/>
          <w:numId w:val="9"/>
        </w:numPr>
        <w:jc w:val="both"/>
        <w:rPr>
          <w:b/>
          <w:bCs/>
          <w:sz w:val="24"/>
          <w:szCs w:val="24"/>
          <w:lang w:val="es-CL"/>
        </w:rPr>
      </w:pPr>
      <w:r>
        <w:rPr>
          <w:b/>
          <w:bCs/>
          <w:sz w:val="24"/>
          <w:szCs w:val="24"/>
          <w:lang w:val="es-CL"/>
        </w:rPr>
        <w:t>Incorpora</w:t>
      </w:r>
      <w:r w:rsidR="000C0FFD">
        <w:rPr>
          <w:b/>
          <w:bCs/>
          <w:sz w:val="24"/>
          <w:szCs w:val="24"/>
          <w:lang w:val="es-CL"/>
        </w:rPr>
        <w:t>ting the</w:t>
      </w:r>
      <w:r w:rsidR="00E11663">
        <w:rPr>
          <w:b/>
          <w:bCs/>
          <w:sz w:val="24"/>
          <w:szCs w:val="24"/>
          <w:lang w:val="es-CL"/>
        </w:rPr>
        <w:t xml:space="preserve"> </w:t>
      </w:r>
      <w:r w:rsidR="00C343BD">
        <w:rPr>
          <w:b/>
          <w:bCs/>
          <w:sz w:val="24"/>
          <w:szCs w:val="24"/>
          <w:lang w:val="es-CL"/>
        </w:rPr>
        <w:t xml:space="preserve">Central Bank </w:t>
      </w:r>
    </w:p>
    <w:p w14:paraId="477490F7" w14:textId="24341809" w:rsidR="003E7F2D" w:rsidRPr="003B6C66" w:rsidRDefault="000C0FFD" w:rsidP="000C41C7">
      <w:pPr>
        <w:jc w:val="both"/>
        <w:rPr>
          <w:sz w:val="24"/>
          <w:szCs w:val="24"/>
        </w:rPr>
      </w:pPr>
      <w:r w:rsidRPr="003B6C66">
        <w:rPr>
          <w:sz w:val="24"/>
          <w:szCs w:val="24"/>
        </w:rPr>
        <w:t>Another test of the robustness of the estimators is implemented using the monetary policy rate (</w:t>
      </w:r>
      <w:r w:rsidR="00E11663" w:rsidRPr="003B6C66">
        <w:rPr>
          <w:sz w:val="24"/>
          <w:szCs w:val="24"/>
        </w:rPr>
        <w:t>TPM</w:t>
      </w:r>
      <w:r w:rsidRPr="003B6C66">
        <w:rPr>
          <w:sz w:val="24"/>
          <w:szCs w:val="24"/>
        </w:rPr>
        <w:t xml:space="preserve">) directly as the explanatory variable of monthly inflation. Since the effect of the </w:t>
      </w:r>
      <w:r w:rsidR="00595CBF" w:rsidRPr="003B6C66">
        <w:rPr>
          <w:sz w:val="24"/>
          <w:szCs w:val="24"/>
        </w:rPr>
        <w:t>TPM</w:t>
      </w:r>
      <w:r w:rsidRPr="003B6C66">
        <w:rPr>
          <w:sz w:val="24"/>
          <w:szCs w:val="24"/>
        </w:rPr>
        <w:t xml:space="preserve"> on inflation is expected to be subject to lags, we use this variable with three lags. Table A5 shows these results. As can be seen in this table, the inclusion of the lagged </w:t>
      </w:r>
      <w:r w:rsidR="00595CBF" w:rsidRPr="003B6C66">
        <w:rPr>
          <w:sz w:val="24"/>
          <w:szCs w:val="24"/>
        </w:rPr>
        <w:t>TPM</w:t>
      </w:r>
      <w:r w:rsidRPr="003B6C66">
        <w:rPr>
          <w:sz w:val="24"/>
          <w:szCs w:val="24"/>
        </w:rPr>
        <w:t xml:space="preserve"> variables does not affect the value of the key coefficients, which continue to be external inflation and exchange rate variations. Surprisingly, the </w:t>
      </w:r>
      <w:r w:rsidR="00595CBF" w:rsidRPr="003B6C66">
        <w:rPr>
          <w:sz w:val="24"/>
          <w:szCs w:val="24"/>
        </w:rPr>
        <w:t>TPM</w:t>
      </w:r>
      <w:r w:rsidRPr="003B6C66">
        <w:rPr>
          <w:sz w:val="24"/>
          <w:szCs w:val="24"/>
        </w:rPr>
        <w:t xml:space="preserve"> does not appear </w:t>
      </w:r>
      <w:r w:rsidR="00595CBF" w:rsidRPr="003B6C66">
        <w:rPr>
          <w:sz w:val="24"/>
          <w:szCs w:val="24"/>
        </w:rPr>
        <w:t xml:space="preserve">statistically </w:t>
      </w:r>
      <w:r w:rsidRPr="003B6C66">
        <w:rPr>
          <w:sz w:val="24"/>
          <w:szCs w:val="24"/>
        </w:rPr>
        <w:t xml:space="preserve">significant in any of its lags. The different lags of the </w:t>
      </w:r>
      <w:r w:rsidR="00595CBF" w:rsidRPr="003B6C66">
        <w:rPr>
          <w:sz w:val="24"/>
          <w:szCs w:val="24"/>
        </w:rPr>
        <w:t>TPM</w:t>
      </w:r>
      <w:r w:rsidRPr="003B6C66">
        <w:rPr>
          <w:sz w:val="24"/>
          <w:szCs w:val="24"/>
        </w:rPr>
        <w:t xml:space="preserve"> are also not significant when we estimate the first stage of the</w:t>
      </w:r>
      <w:r w:rsidR="00595CBF" w:rsidRPr="003B6C66">
        <w:rPr>
          <w:sz w:val="24"/>
          <w:szCs w:val="24"/>
        </w:rPr>
        <w:t xml:space="preserve"> estimation by</w:t>
      </w:r>
      <w:r w:rsidRPr="003B6C66">
        <w:rPr>
          <w:sz w:val="24"/>
          <w:szCs w:val="24"/>
        </w:rPr>
        <w:t xml:space="preserve"> </w:t>
      </w:r>
      <w:r w:rsidR="00595CBF" w:rsidRPr="003B6C66">
        <w:rPr>
          <w:sz w:val="24"/>
          <w:szCs w:val="24"/>
        </w:rPr>
        <w:t>T</w:t>
      </w:r>
      <w:r w:rsidRPr="003B6C66">
        <w:rPr>
          <w:sz w:val="24"/>
          <w:szCs w:val="24"/>
        </w:rPr>
        <w:t>SLS (Table A6)</w:t>
      </w:r>
      <w:r w:rsidR="00595CBF" w:rsidRPr="003B6C66">
        <w:rPr>
          <w:sz w:val="24"/>
          <w:szCs w:val="24"/>
        </w:rPr>
        <w:t>.</w:t>
      </w:r>
    </w:p>
    <w:p w14:paraId="1792B4C7" w14:textId="427D1F32" w:rsidR="000C0FFD" w:rsidRPr="003B6C66" w:rsidRDefault="000C0FFD" w:rsidP="000C41C7">
      <w:pPr>
        <w:jc w:val="both"/>
        <w:rPr>
          <w:sz w:val="24"/>
          <w:szCs w:val="24"/>
        </w:rPr>
      </w:pPr>
    </w:p>
    <w:p w14:paraId="55229EF9" w14:textId="2C39A02F" w:rsidR="00E3292E" w:rsidRPr="003B6C66" w:rsidRDefault="00E3292E" w:rsidP="000C41C7">
      <w:pPr>
        <w:jc w:val="both"/>
        <w:rPr>
          <w:sz w:val="24"/>
          <w:szCs w:val="24"/>
        </w:rPr>
      </w:pPr>
    </w:p>
    <w:p w14:paraId="39C2E9DD" w14:textId="34E32BB8" w:rsidR="00E3292E" w:rsidRDefault="00E3292E" w:rsidP="000C41C7">
      <w:pPr>
        <w:jc w:val="both"/>
        <w:rPr>
          <w:sz w:val="24"/>
          <w:szCs w:val="24"/>
        </w:rPr>
      </w:pPr>
    </w:p>
    <w:p w14:paraId="0A11022C" w14:textId="77777777" w:rsidR="00055563" w:rsidRPr="003B6C66" w:rsidRDefault="00055563" w:rsidP="000C41C7">
      <w:pPr>
        <w:jc w:val="both"/>
        <w:rPr>
          <w:sz w:val="24"/>
          <w:szCs w:val="24"/>
        </w:rPr>
      </w:pPr>
    </w:p>
    <w:p w14:paraId="65DED812" w14:textId="77777777" w:rsidR="00E3292E" w:rsidRPr="003B6C66" w:rsidRDefault="00E3292E" w:rsidP="000C41C7">
      <w:pPr>
        <w:jc w:val="both"/>
        <w:rPr>
          <w:sz w:val="24"/>
          <w:szCs w:val="24"/>
        </w:rPr>
      </w:pPr>
    </w:p>
    <w:p w14:paraId="48853895" w14:textId="7295E727" w:rsidR="0014026B" w:rsidRPr="003B6C66" w:rsidRDefault="0014026B" w:rsidP="0014026B">
      <w:pPr>
        <w:jc w:val="both"/>
        <w:rPr>
          <w:rFonts w:eastAsiaTheme="minorEastAsia"/>
          <w:sz w:val="24"/>
          <w:szCs w:val="24"/>
        </w:rPr>
      </w:pPr>
      <w:r w:rsidRPr="003B6C66">
        <w:rPr>
          <w:rFonts w:eastAsiaTheme="minorEastAsia"/>
          <w:b/>
          <w:bCs/>
          <w:sz w:val="24"/>
          <w:szCs w:val="24"/>
        </w:rPr>
        <w:lastRenderedPageBreak/>
        <w:t>Tabla A</w:t>
      </w:r>
      <w:r w:rsidR="005F5FEE" w:rsidRPr="003B6C66">
        <w:rPr>
          <w:rFonts w:eastAsiaTheme="minorEastAsia"/>
          <w:b/>
          <w:bCs/>
          <w:sz w:val="24"/>
          <w:szCs w:val="24"/>
        </w:rPr>
        <w:t>5</w:t>
      </w:r>
      <w:r w:rsidRPr="003B6C66">
        <w:rPr>
          <w:rFonts w:eastAsiaTheme="minorEastAsia"/>
          <w:b/>
          <w:bCs/>
          <w:sz w:val="24"/>
          <w:szCs w:val="24"/>
        </w:rPr>
        <w:t xml:space="preserve">. </w:t>
      </w:r>
      <w:r w:rsidR="005B65D1" w:rsidRPr="003B6C66">
        <w:rPr>
          <w:rFonts w:eastAsiaTheme="minorEastAsia"/>
          <w:b/>
          <w:bCs/>
          <w:sz w:val="24"/>
          <w:szCs w:val="24"/>
        </w:rPr>
        <w:t>Second stage of the estimation by TSLS adding the variation of the TPM</w:t>
      </w:r>
    </w:p>
    <w:tbl>
      <w:tblPr>
        <w:tblStyle w:val="Tablanormal1"/>
        <w:tblW w:w="4950" w:type="dxa"/>
        <w:tblLook w:val="04A0" w:firstRow="1" w:lastRow="0" w:firstColumn="1" w:lastColumn="0" w:noHBand="0" w:noVBand="1"/>
      </w:tblPr>
      <w:tblGrid>
        <w:gridCol w:w="3309"/>
        <w:gridCol w:w="1641"/>
      </w:tblGrid>
      <w:tr w:rsidR="0014026B" w14:paraId="3E9DFC2F" w14:textId="77777777" w:rsidTr="0014026B">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3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noWrap/>
            <w:hideMark/>
          </w:tcPr>
          <w:p w14:paraId="39D87E07" w14:textId="54BF38CF" w:rsidR="0014026B" w:rsidRDefault="0014026B">
            <w:pPr>
              <w:rPr>
                <w:rFonts w:ascii="Calibri" w:eastAsia="Times New Roman" w:hAnsi="Calibri" w:cs="Calibri"/>
                <w:color w:val="000000"/>
              </w:rPr>
            </w:pPr>
            <w:r>
              <w:rPr>
                <w:rFonts w:ascii="Calibri" w:eastAsia="Times New Roman" w:hAnsi="Calibri" w:cs="Calibri"/>
                <w:color w:val="000000"/>
              </w:rPr>
              <w:t>N</w:t>
            </w:r>
            <w:r w:rsidR="00D04DED">
              <w:rPr>
                <w:rFonts w:ascii="Calibri" w:eastAsia="Times New Roman" w:hAnsi="Calibri" w:cs="Calibri"/>
                <w:color w:val="000000"/>
              </w:rPr>
              <w:t>umber of</w:t>
            </w:r>
            <w:r>
              <w:rPr>
                <w:rFonts w:ascii="Calibri" w:eastAsia="Times New Roman" w:hAnsi="Calibri" w:cs="Calibri"/>
                <w:color w:val="000000"/>
              </w:rPr>
              <w:t xml:space="preserve"> observa</w:t>
            </w:r>
            <w:r w:rsidR="00D04DED">
              <w:rPr>
                <w:rFonts w:ascii="Calibri" w:eastAsia="Times New Roman" w:hAnsi="Calibri" w:cs="Calibri"/>
                <w:color w:val="000000"/>
              </w:rPr>
              <w:t>tions</w:t>
            </w:r>
          </w:p>
        </w:tc>
        <w:tc>
          <w:tcPr>
            <w:tcW w:w="16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noWrap/>
            <w:hideMark/>
          </w:tcPr>
          <w:p w14:paraId="41679A79" w14:textId="77777777" w:rsidR="0014026B" w:rsidRDefault="0014026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b w:val="0"/>
                <w:bCs w:val="0"/>
                <w:color w:val="000000"/>
              </w:rPr>
              <w:t>261</w:t>
            </w:r>
          </w:p>
        </w:tc>
      </w:tr>
      <w:tr w:rsidR="0014026B" w14:paraId="796A6783" w14:textId="77777777" w:rsidTr="0014026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3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noWrap/>
            <w:hideMark/>
          </w:tcPr>
          <w:p w14:paraId="4DE063F3" w14:textId="77777777" w:rsidR="0014026B" w:rsidRDefault="0014026B">
            <w:pPr>
              <w:rPr>
                <w:rFonts w:ascii="Calibri" w:eastAsia="Times New Roman" w:hAnsi="Calibri" w:cs="Calibri"/>
                <w:color w:val="000000"/>
              </w:rPr>
            </w:pPr>
            <w:r>
              <w:rPr>
                <w:rFonts w:ascii="Calibri" w:eastAsia="Times New Roman" w:hAnsi="Calibri" w:cs="Calibri"/>
                <w:color w:val="000000"/>
              </w:rPr>
              <w:t>Wald chi2(14)</w:t>
            </w:r>
          </w:p>
        </w:tc>
        <w:tc>
          <w:tcPr>
            <w:tcW w:w="16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noWrap/>
            <w:hideMark/>
          </w:tcPr>
          <w:p w14:paraId="3467490E" w14:textId="77777777" w:rsidR="0014026B" w:rsidRDefault="0014026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187.80</w:t>
            </w:r>
          </w:p>
        </w:tc>
      </w:tr>
      <w:tr w:rsidR="0014026B" w14:paraId="0503FEB3" w14:textId="77777777" w:rsidTr="0014026B">
        <w:trPr>
          <w:trHeight w:val="296"/>
        </w:trPr>
        <w:tc>
          <w:tcPr>
            <w:cnfStyle w:val="001000000000" w:firstRow="0" w:lastRow="0" w:firstColumn="1" w:lastColumn="0" w:oddVBand="0" w:evenVBand="0" w:oddHBand="0" w:evenHBand="0" w:firstRowFirstColumn="0" w:firstRowLastColumn="0" w:lastRowFirstColumn="0" w:lastRowLastColumn="0"/>
            <w:tcW w:w="33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noWrap/>
            <w:hideMark/>
          </w:tcPr>
          <w:p w14:paraId="02120D19" w14:textId="77777777" w:rsidR="0014026B" w:rsidRDefault="0014026B">
            <w:pPr>
              <w:rPr>
                <w:rFonts w:ascii="Calibri" w:eastAsia="Times New Roman" w:hAnsi="Calibri" w:cs="Calibri"/>
                <w:color w:val="000000"/>
              </w:rPr>
            </w:pPr>
            <w:r>
              <w:rPr>
                <w:rFonts w:ascii="Calibri" w:eastAsia="Times New Roman" w:hAnsi="Calibri" w:cs="Calibri"/>
                <w:color w:val="000000"/>
              </w:rPr>
              <w:t>Prob &gt; chi2</w:t>
            </w:r>
          </w:p>
        </w:tc>
        <w:tc>
          <w:tcPr>
            <w:tcW w:w="16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noWrap/>
            <w:hideMark/>
          </w:tcPr>
          <w:p w14:paraId="098D18FB" w14:textId="77777777" w:rsidR="0014026B" w:rsidRDefault="0014026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0.0000</w:t>
            </w:r>
          </w:p>
        </w:tc>
      </w:tr>
      <w:tr w:rsidR="0014026B" w14:paraId="1F52F322" w14:textId="77777777" w:rsidTr="0014026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3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noWrap/>
            <w:hideMark/>
          </w:tcPr>
          <w:p w14:paraId="054ED544" w14:textId="2CAC8C7A" w:rsidR="0014026B" w:rsidRDefault="0014026B">
            <w:pPr>
              <w:rPr>
                <w:rFonts w:ascii="Calibri" w:eastAsia="Times New Roman" w:hAnsi="Calibri" w:cs="Calibri"/>
                <w:color w:val="000000"/>
              </w:rPr>
            </w:pPr>
            <w:r>
              <w:rPr>
                <w:rFonts w:ascii="Calibri" w:eastAsia="Times New Roman" w:hAnsi="Calibri" w:cs="Calibri"/>
                <w:color w:val="000000"/>
              </w:rPr>
              <w:t>R-</w:t>
            </w:r>
            <w:r w:rsidR="00D04DED">
              <w:rPr>
                <w:rFonts w:ascii="Calibri" w:eastAsia="Times New Roman" w:hAnsi="Calibri" w:cs="Calibri"/>
                <w:color w:val="000000"/>
              </w:rPr>
              <w:t>squared</w:t>
            </w:r>
          </w:p>
        </w:tc>
        <w:tc>
          <w:tcPr>
            <w:tcW w:w="16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noWrap/>
            <w:hideMark/>
          </w:tcPr>
          <w:p w14:paraId="3C58376C" w14:textId="77777777" w:rsidR="0014026B" w:rsidRDefault="0014026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0.2824</w:t>
            </w:r>
          </w:p>
        </w:tc>
      </w:tr>
    </w:tbl>
    <w:p w14:paraId="4C461FCA" w14:textId="77777777" w:rsidR="0014026B" w:rsidRDefault="0014026B" w:rsidP="0014026B">
      <w:pPr>
        <w:jc w:val="both"/>
        <w:rPr>
          <w:sz w:val="24"/>
          <w:szCs w:val="24"/>
          <w:lang w:val="es-CL"/>
        </w:rPr>
      </w:pPr>
    </w:p>
    <w:tbl>
      <w:tblPr>
        <w:tblW w:w="9081" w:type="dxa"/>
        <w:tblCellMar>
          <w:left w:w="70" w:type="dxa"/>
          <w:right w:w="70" w:type="dxa"/>
        </w:tblCellMar>
        <w:tblLook w:val="04A0" w:firstRow="1" w:lastRow="0" w:firstColumn="1" w:lastColumn="0" w:noHBand="0" w:noVBand="1"/>
      </w:tblPr>
      <w:tblGrid>
        <w:gridCol w:w="1371"/>
        <w:gridCol w:w="1285"/>
        <w:gridCol w:w="1285"/>
        <w:gridCol w:w="1285"/>
        <w:gridCol w:w="1285"/>
        <w:gridCol w:w="1348"/>
        <w:gridCol w:w="1222"/>
      </w:tblGrid>
      <w:tr w:rsidR="0014026B" w14:paraId="531700A4" w14:textId="77777777" w:rsidTr="0014026B">
        <w:trPr>
          <w:trHeight w:val="290"/>
        </w:trPr>
        <w:tc>
          <w:tcPr>
            <w:tcW w:w="137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393E6A51" w14:textId="60ACDAC7" w:rsidR="0014026B" w:rsidRDefault="0014026B">
            <w:pPr>
              <w:spacing w:after="0" w:line="240" w:lineRule="auto"/>
              <w:jc w:val="center"/>
              <w:rPr>
                <w:rFonts w:ascii="Calibri" w:eastAsia="Times New Roman" w:hAnsi="Calibri" w:cs="Calibri"/>
                <w:color w:val="000000"/>
                <w:lang w:val="es-CL" w:eastAsia="es-CL"/>
              </w:rPr>
            </w:pPr>
            <w:r>
              <w:rPr>
                <w:rFonts w:ascii="Calibri" w:eastAsia="Times New Roman" w:hAnsi="Calibri" w:cs="Calibri"/>
                <w:b/>
                <w:bCs/>
                <w:color w:val="000000"/>
              </w:rPr>
              <w:t>Chile</w:t>
            </w:r>
            <w:r w:rsidR="00D04DED">
              <w:rPr>
                <w:rFonts w:ascii="Calibri" w:eastAsia="Times New Roman" w:hAnsi="Calibri" w:cs="Calibri"/>
                <w:b/>
                <w:bCs/>
                <w:color w:val="000000"/>
              </w:rPr>
              <w:t xml:space="preserve"> Inf.</w:t>
            </w:r>
          </w:p>
        </w:tc>
        <w:tc>
          <w:tcPr>
            <w:tcW w:w="1285" w:type="dxa"/>
            <w:tcBorders>
              <w:top w:val="single" w:sz="4" w:space="0" w:color="auto"/>
              <w:left w:val="nil"/>
              <w:bottom w:val="single" w:sz="4" w:space="0" w:color="auto"/>
              <w:right w:val="single" w:sz="4" w:space="0" w:color="auto"/>
            </w:tcBorders>
            <w:shd w:val="clear" w:color="auto" w:fill="D9E2F3" w:themeFill="accent1" w:themeFillTint="33"/>
            <w:noWrap/>
            <w:hideMark/>
          </w:tcPr>
          <w:p w14:paraId="2A81686A" w14:textId="7A6768A6" w:rsidR="0014026B" w:rsidRDefault="0014026B">
            <w:pPr>
              <w:spacing w:after="0" w:line="240" w:lineRule="auto"/>
              <w:jc w:val="center"/>
              <w:rPr>
                <w:rFonts w:ascii="Calibri" w:eastAsia="Times New Roman" w:hAnsi="Calibri" w:cs="Calibri"/>
                <w:color w:val="000000"/>
                <w:lang w:val="es-CL" w:eastAsia="es-CL"/>
              </w:rPr>
            </w:pPr>
            <w:r>
              <w:rPr>
                <w:rFonts w:ascii="Calibri" w:eastAsia="Times New Roman" w:hAnsi="Calibri" w:cs="Calibri"/>
                <w:b/>
                <w:bCs/>
                <w:color w:val="000000"/>
              </w:rPr>
              <w:t>Coef</w:t>
            </w:r>
            <w:r w:rsidR="00D04DED">
              <w:rPr>
                <w:rFonts w:ascii="Calibri" w:eastAsia="Times New Roman" w:hAnsi="Calibri" w:cs="Calibri"/>
                <w:b/>
                <w:bCs/>
                <w:color w:val="000000"/>
              </w:rPr>
              <w:t>f</w:t>
            </w:r>
            <w:r>
              <w:rPr>
                <w:rFonts w:ascii="Calibri" w:eastAsia="Times New Roman" w:hAnsi="Calibri" w:cs="Calibri"/>
                <w:b/>
                <w:bCs/>
                <w:color w:val="000000"/>
              </w:rPr>
              <w:t>icient</w:t>
            </w:r>
          </w:p>
        </w:tc>
        <w:tc>
          <w:tcPr>
            <w:tcW w:w="1285" w:type="dxa"/>
            <w:tcBorders>
              <w:top w:val="single" w:sz="4" w:space="0" w:color="auto"/>
              <w:left w:val="nil"/>
              <w:bottom w:val="single" w:sz="4" w:space="0" w:color="auto"/>
              <w:right w:val="single" w:sz="4" w:space="0" w:color="auto"/>
            </w:tcBorders>
            <w:shd w:val="clear" w:color="auto" w:fill="D9E2F3" w:themeFill="accent1" w:themeFillTint="33"/>
            <w:noWrap/>
            <w:hideMark/>
          </w:tcPr>
          <w:p w14:paraId="418F6CD2" w14:textId="1AB82BCE" w:rsidR="0014026B" w:rsidRDefault="00D04DED">
            <w:pPr>
              <w:spacing w:after="0" w:line="240" w:lineRule="auto"/>
              <w:jc w:val="center"/>
              <w:rPr>
                <w:rFonts w:ascii="Calibri" w:eastAsia="Times New Roman" w:hAnsi="Calibri" w:cs="Calibri"/>
                <w:color w:val="000000"/>
                <w:lang w:val="es-CL" w:eastAsia="es-CL"/>
              </w:rPr>
            </w:pPr>
            <w:r w:rsidRPr="008E7809">
              <w:rPr>
                <w:rFonts w:ascii="Calibri" w:eastAsia="Times New Roman" w:hAnsi="Calibri" w:cs="Calibri"/>
                <w:b/>
                <w:bCs/>
                <w:color w:val="000000"/>
              </w:rPr>
              <w:t>Robust</w:t>
            </w:r>
            <w:r>
              <w:rPr>
                <w:rFonts w:ascii="Calibri" w:eastAsia="Times New Roman" w:hAnsi="Calibri" w:cs="Calibri"/>
                <w:b/>
                <w:bCs/>
                <w:color w:val="000000"/>
              </w:rPr>
              <w:t xml:space="preserve"> Std. Err.</w:t>
            </w:r>
          </w:p>
        </w:tc>
        <w:tc>
          <w:tcPr>
            <w:tcW w:w="1285" w:type="dxa"/>
            <w:tcBorders>
              <w:top w:val="single" w:sz="4" w:space="0" w:color="auto"/>
              <w:left w:val="nil"/>
              <w:bottom w:val="single" w:sz="4" w:space="0" w:color="auto"/>
              <w:right w:val="single" w:sz="4" w:space="0" w:color="auto"/>
            </w:tcBorders>
            <w:shd w:val="clear" w:color="auto" w:fill="D9E2F3" w:themeFill="accent1" w:themeFillTint="33"/>
            <w:noWrap/>
            <w:hideMark/>
          </w:tcPr>
          <w:p w14:paraId="364E849D" w14:textId="77777777" w:rsidR="0014026B" w:rsidRDefault="0014026B">
            <w:pPr>
              <w:spacing w:after="0" w:line="240" w:lineRule="auto"/>
              <w:jc w:val="center"/>
              <w:rPr>
                <w:rFonts w:ascii="Calibri" w:eastAsia="Times New Roman" w:hAnsi="Calibri" w:cs="Calibri"/>
                <w:color w:val="000000"/>
                <w:lang w:val="es-CL" w:eastAsia="es-CL"/>
              </w:rPr>
            </w:pPr>
            <w:r>
              <w:rPr>
                <w:rFonts w:ascii="Calibri" w:eastAsia="Times New Roman" w:hAnsi="Calibri" w:cs="Calibri"/>
                <w:b/>
                <w:bCs/>
                <w:color w:val="000000"/>
              </w:rPr>
              <w:t>z</w:t>
            </w:r>
          </w:p>
        </w:tc>
        <w:tc>
          <w:tcPr>
            <w:tcW w:w="1285" w:type="dxa"/>
            <w:tcBorders>
              <w:top w:val="single" w:sz="4" w:space="0" w:color="auto"/>
              <w:left w:val="nil"/>
              <w:bottom w:val="single" w:sz="4" w:space="0" w:color="auto"/>
              <w:right w:val="single" w:sz="4" w:space="0" w:color="auto"/>
            </w:tcBorders>
            <w:shd w:val="clear" w:color="auto" w:fill="D9E2F3" w:themeFill="accent1" w:themeFillTint="33"/>
            <w:noWrap/>
            <w:hideMark/>
          </w:tcPr>
          <w:p w14:paraId="7D424A15" w14:textId="77777777" w:rsidR="0014026B" w:rsidRDefault="0014026B">
            <w:pPr>
              <w:spacing w:after="0" w:line="240" w:lineRule="auto"/>
              <w:jc w:val="center"/>
              <w:rPr>
                <w:rFonts w:ascii="Calibri" w:eastAsia="Times New Roman" w:hAnsi="Calibri" w:cs="Calibri"/>
                <w:color w:val="000000"/>
                <w:lang w:val="es-CL" w:eastAsia="es-CL"/>
              </w:rPr>
            </w:pPr>
            <w:r>
              <w:rPr>
                <w:rFonts w:ascii="Calibri" w:eastAsia="Times New Roman" w:hAnsi="Calibri" w:cs="Calibri"/>
                <w:b/>
                <w:bCs/>
                <w:color w:val="000000"/>
              </w:rPr>
              <w:t>p&gt;|z|</w:t>
            </w:r>
          </w:p>
        </w:tc>
        <w:tc>
          <w:tcPr>
            <w:tcW w:w="2570" w:type="dxa"/>
            <w:gridSpan w:val="2"/>
            <w:tcBorders>
              <w:top w:val="single" w:sz="4" w:space="0" w:color="auto"/>
              <w:left w:val="nil"/>
              <w:bottom w:val="single" w:sz="4" w:space="0" w:color="auto"/>
              <w:right w:val="single" w:sz="4" w:space="0" w:color="auto"/>
            </w:tcBorders>
            <w:shd w:val="clear" w:color="auto" w:fill="D9E2F3" w:themeFill="accent1" w:themeFillTint="33"/>
            <w:noWrap/>
            <w:hideMark/>
          </w:tcPr>
          <w:p w14:paraId="7320F9AB" w14:textId="3D4AA732" w:rsidR="0014026B" w:rsidRDefault="00D04DED">
            <w:pPr>
              <w:spacing w:after="0" w:line="240" w:lineRule="auto"/>
              <w:jc w:val="center"/>
              <w:rPr>
                <w:rFonts w:ascii="Calibri" w:eastAsia="Times New Roman" w:hAnsi="Calibri" w:cs="Calibri"/>
                <w:color w:val="000000"/>
                <w:lang w:val="es-CL" w:eastAsia="es-CL"/>
              </w:rPr>
            </w:pPr>
            <w:r>
              <w:rPr>
                <w:rFonts w:ascii="Calibri" w:eastAsia="Times New Roman" w:hAnsi="Calibri" w:cs="Calibri"/>
                <w:b/>
                <w:bCs/>
                <w:color w:val="000000"/>
              </w:rPr>
              <w:t>Confidence Interval</w:t>
            </w:r>
            <w:r w:rsidR="0014026B">
              <w:rPr>
                <w:rFonts w:ascii="Calibri" w:eastAsia="Times New Roman" w:hAnsi="Calibri" w:cs="Calibri"/>
                <w:b/>
                <w:bCs/>
                <w:color w:val="000000"/>
              </w:rPr>
              <w:t xml:space="preserve"> (95%)</w:t>
            </w:r>
          </w:p>
        </w:tc>
      </w:tr>
      <w:tr w:rsidR="0014026B" w14:paraId="27502259" w14:textId="77777777" w:rsidTr="0014026B">
        <w:trPr>
          <w:trHeight w:val="290"/>
        </w:trPr>
        <w:tc>
          <w:tcPr>
            <w:tcW w:w="1371" w:type="dxa"/>
            <w:tcBorders>
              <w:top w:val="nil"/>
              <w:left w:val="single" w:sz="4" w:space="0" w:color="auto"/>
              <w:bottom w:val="single" w:sz="4" w:space="0" w:color="auto"/>
              <w:right w:val="single" w:sz="4" w:space="0" w:color="auto"/>
            </w:tcBorders>
            <w:noWrap/>
            <w:vAlign w:val="bottom"/>
            <w:hideMark/>
          </w:tcPr>
          <w:p w14:paraId="34808698" w14:textId="398016E4" w:rsidR="0014026B" w:rsidRPr="000B6015" w:rsidRDefault="000B6015">
            <w:pPr>
              <w:spacing w:after="0" w:line="240" w:lineRule="auto"/>
              <w:rPr>
                <w:rFonts w:ascii="Calibri" w:eastAsia="Times New Roman" w:hAnsi="Calibri" w:cs="Calibri"/>
                <w:color w:val="000000"/>
                <w:lang w:val="es-CL" w:eastAsia="es-CL"/>
              </w:rPr>
            </w:pPr>
            <m:oMathPara>
              <m:oMathParaPr>
                <m:jc m:val="left"/>
              </m:oMathParaPr>
              <m:oMath>
                <m:r>
                  <w:rPr>
                    <w:rFonts w:ascii="Cambria Math" w:eastAsia="Times New Roman" w:hAnsi="Cambria Math" w:cs="Calibri"/>
                    <w:color w:val="000000"/>
                    <w:lang w:val="es-CL" w:eastAsia="es-CL"/>
                  </w:rPr>
                  <m:t>∆E</m:t>
                </m:r>
              </m:oMath>
            </m:oMathPara>
          </w:p>
        </w:tc>
        <w:tc>
          <w:tcPr>
            <w:tcW w:w="1285" w:type="dxa"/>
            <w:tcBorders>
              <w:top w:val="nil"/>
              <w:left w:val="nil"/>
              <w:bottom w:val="single" w:sz="4" w:space="0" w:color="auto"/>
              <w:right w:val="single" w:sz="4" w:space="0" w:color="auto"/>
            </w:tcBorders>
            <w:noWrap/>
            <w:vAlign w:val="bottom"/>
            <w:hideMark/>
          </w:tcPr>
          <w:p w14:paraId="41B84817"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0.1101</w:t>
            </w:r>
          </w:p>
        </w:tc>
        <w:tc>
          <w:tcPr>
            <w:tcW w:w="1285" w:type="dxa"/>
            <w:tcBorders>
              <w:top w:val="nil"/>
              <w:left w:val="nil"/>
              <w:bottom w:val="single" w:sz="4" w:space="0" w:color="auto"/>
              <w:right w:val="single" w:sz="4" w:space="0" w:color="auto"/>
            </w:tcBorders>
            <w:noWrap/>
            <w:vAlign w:val="bottom"/>
            <w:hideMark/>
          </w:tcPr>
          <w:p w14:paraId="55B27026"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0.0292</w:t>
            </w:r>
          </w:p>
        </w:tc>
        <w:tc>
          <w:tcPr>
            <w:tcW w:w="1285" w:type="dxa"/>
            <w:tcBorders>
              <w:top w:val="nil"/>
              <w:left w:val="nil"/>
              <w:bottom w:val="single" w:sz="4" w:space="0" w:color="auto"/>
              <w:right w:val="single" w:sz="4" w:space="0" w:color="auto"/>
            </w:tcBorders>
            <w:noWrap/>
            <w:vAlign w:val="bottom"/>
            <w:hideMark/>
          </w:tcPr>
          <w:p w14:paraId="39853AD2"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3.77</w:t>
            </w:r>
          </w:p>
        </w:tc>
        <w:tc>
          <w:tcPr>
            <w:tcW w:w="1285" w:type="dxa"/>
            <w:tcBorders>
              <w:top w:val="nil"/>
              <w:left w:val="nil"/>
              <w:bottom w:val="single" w:sz="4" w:space="0" w:color="auto"/>
              <w:right w:val="single" w:sz="4" w:space="0" w:color="auto"/>
            </w:tcBorders>
            <w:noWrap/>
            <w:vAlign w:val="bottom"/>
            <w:hideMark/>
          </w:tcPr>
          <w:p w14:paraId="472E5C09"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w:t>
            </w:r>
          </w:p>
        </w:tc>
        <w:tc>
          <w:tcPr>
            <w:tcW w:w="1348" w:type="dxa"/>
            <w:tcBorders>
              <w:top w:val="nil"/>
              <w:left w:val="nil"/>
              <w:bottom w:val="single" w:sz="4" w:space="0" w:color="auto"/>
              <w:right w:val="single" w:sz="4" w:space="0" w:color="auto"/>
            </w:tcBorders>
            <w:noWrap/>
            <w:vAlign w:val="bottom"/>
            <w:hideMark/>
          </w:tcPr>
          <w:p w14:paraId="588DA5A0"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0.0529</w:t>
            </w:r>
          </w:p>
        </w:tc>
        <w:tc>
          <w:tcPr>
            <w:tcW w:w="1221" w:type="dxa"/>
            <w:tcBorders>
              <w:top w:val="nil"/>
              <w:left w:val="nil"/>
              <w:bottom w:val="single" w:sz="4" w:space="0" w:color="auto"/>
              <w:right w:val="single" w:sz="4" w:space="0" w:color="auto"/>
            </w:tcBorders>
            <w:noWrap/>
            <w:vAlign w:val="bottom"/>
            <w:hideMark/>
          </w:tcPr>
          <w:p w14:paraId="4D17DB98"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0.1673</w:t>
            </w:r>
          </w:p>
        </w:tc>
      </w:tr>
      <w:tr w:rsidR="0014026B" w14:paraId="6BD460DA" w14:textId="77777777" w:rsidTr="0014026B">
        <w:trPr>
          <w:trHeight w:val="290"/>
        </w:trPr>
        <w:tc>
          <w:tcPr>
            <w:tcW w:w="1371" w:type="dxa"/>
            <w:tcBorders>
              <w:top w:val="nil"/>
              <w:left w:val="single" w:sz="4" w:space="0" w:color="auto"/>
              <w:bottom w:val="single" w:sz="4" w:space="0" w:color="auto"/>
              <w:right w:val="single" w:sz="4" w:space="0" w:color="auto"/>
            </w:tcBorders>
            <w:noWrap/>
            <w:vAlign w:val="bottom"/>
            <w:hideMark/>
          </w:tcPr>
          <w:p w14:paraId="484278CA" w14:textId="2C44B235" w:rsidR="0014026B" w:rsidRDefault="0014026B">
            <w:pPr>
              <w:spacing w:after="0" w:line="240" w:lineRule="auto"/>
              <w:rPr>
                <w:rFonts w:ascii="Calibri" w:eastAsia="Times New Roman" w:hAnsi="Calibri" w:cs="Calibri"/>
                <w:color w:val="000000"/>
                <w:lang w:val="es-CL" w:eastAsia="es-CL"/>
              </w:rPr>
            </w:pPr>
            <w:r>
              <w:rPr>
                <w:rFonts w:ascii="Calibri" w:eastAsia="Times New Roman" w:hAnsi="Calibri" w:cs="Calibri"/>
                <w:color w:val="000000"/>
                <w:lang w:val="es-CL" w:eastAsia="es-CL"/>
              </w:rPr>
              <w:t>US</w:t>
            </w:r>
            <w:r w:rsidR="000B6015">
              <w:rPr>
                <w:rFonts w:ascii="Calibri" w:eastAsia="Times New Roman" w:hAnsi="Calibri" w:cs="Calibri"/>
                <w:color w:val="000000"/>
                <w:lang w:val="es-CL" w:eastAsia="es-CL"/>
              </w:rPr>
              <w:t xml:space="preserve"> Inf.</w:t>
            </w:r>
          </w:p>
        </w:tc>
        <w:tc>
          <w:tcPr>
            <w:tcW w:w="1285" w:type="dxa"/>
            <w:tcBorders>
              <w:top w:val="nil"/>
              <w:left w:val="nil"/>
              <w:bottom w:val="single" w:sz="4" w:space="0" w:color="auto"/>
              <w:right w:val="single" w:sz="4" w:space="0" w:color="auto"/>
            </w:tcBorders>
            <w:noWrap/>
            <w:vAlign w:val="bottom"/>
            <w:hideMark/>
          </w:tcPr>
          <w:p w14:paraId="3920A9A9"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0.5173</w:t>
            </w:r>
          </w:p>
        </w:tc>
        <w:tc>
          <w:tcPr>
            <w:tcW w:w="1285" w:type="dxa"/>
            <w:tcBorders>
              <w:top w:val="nil"/>
              <w:left w:val="nil"/>
              <w:bottom w:val="single" w:sz="4" w:space="0" w:color="auto"/>
              <w:right w:val="single" w:sz="4" w:space="0" w:color="auto"/>
            </w:tcBorders>
            <w:noWrap/>
            <w:vAlign w:val="bottom"/>
            <w:hideMark/>
          </w:tcPr>
          <w:p w14:paraId="35198ECA"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0.0746</w:t>
            </w:r>
          </w:p>
        </w:tc>
        <w:tc>
          <w:tcPr>
            <w:tcW w:w="1285" w:type="dxa"/>
            <w:tcBorders>
              <w:top w:val="nil"/>
              <w:left w:val="nil"/>
              <w:bottom w:val="single" w:sz="4" w:space="0" w:color="auto"/>
              <w:right w:val="single" w:sz="4" w:space="0" w:color="auto"/>
            </w:tcBorders>
            <w:noWrap/>
            <w:vAlign w:val="bottom"/>
            <w:hideMark/>
          </w:tcPr>
          <w:p w14:paraId="30879F6B"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6.93</w:t>
            </w:r>
          </w:p>
        </w:tc>
        <w:tc>
          <w:tcPr>
            <w:tcW w:w="1285" w:type="dxa"/>
            <w:tcBorders>
              <w:top w:val="nil"/>
              <w:left w:val="nil"/>
              <w:bottom w:val="single" w:sz="4" w:space="0" w:color="auto"/>
              <w:right w:val="single" w:sz="4" w:space="0" w:color="auto"/>
            </w:tcBorders>
            <w:noWrap/>
            <w:vAlign w:val="bottom"/>
            <w:hideMark/>
          </w:tcPr>
          <w:p w14:paraId="5DFBA303"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w:t>
            </w:r>
          </w:p>
        </w:tc>
        <w:tc>
          <w:tcPr>
            <w:tcW w:w="1348" w:type="dxa"/>
            <w:tcBorders>
              <w:top w:val="nil"/>
              <w:left w:val="nil"/>
              <w:bottom w:val="single" w:sz="4" w:space="0" w:color="auto"/>
              <w:right w:val="single" w:sz="4" w:space="0" w:color="auto"/>
            </w:tcBorders>
            <w:noWrap/>
            <w:vAlign w:val="bottom"/>
            <w:hideMark/>
          </w:tcPr>
          <w:p w14:paraId="19A98D73"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0.3710</w:t>
            </w:r>
          </w:p>
        </w:tc>
        <w:tc>
          <w:tcPr>
            <w:tcW w:w="1221" w:type="dxa"/>
            <w:tcBorders>
              <w:top w:val="nil"/>
              <w:left w:val="nil"/>
              <w:bottom w:val="single" w:sz="4" w:space="0" w:color="auto"/>
              <w:right w:val="single" w:sz="4" w:space="0" w:color="auto"/>
            </w:tcBorders>
            <w:noWrap/>
            <w:vAlign w:val="bottom"/>
            <w:hideMark/>
          </w:tcPr>
          <w:p w14:paraId="18A422B6"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0.6636</w:t>
            </w:r>
          </w:p>
        </w:tc>
      </w:tr>
      <w:tr w:rsidR="0014026B" w14:paraId="30433964" w14:textId="77777777" w:rsidTr="0014026B">
        <w:trPr>
          <w:trHeight w:val="290"/>
        </w:trPr>
        <w:tc>
          <w:tcPr>
            <w:tcW w:w="1371" w:type="dxa"/>
            <w:tcBorders>
              <w:top w:val="nil"/>
              <w:left w:val="single" w:sz="4" w:space="0" w:color="auto"/>
              <w:bottom w:val="single" w:sz="4" w:space="0" w:color="auto"/>
              <w:right w:val="single" w:sz="4" w:space="0" w:color="auto"/>
            </w:tcBorders>
            <w:noWrap/>
            <w:vAlign w:val="bottom"/>
            <w:hideMark/>
          </w:tcPr>
          <w:p w14:paraId="4D948900" w14:textId="71433D34" w:rsidR="0014026B" w:rsidRDefault="0014026B">
            <w:pPr>
              <w:spacing w:after="0" w:line="240" w:lineRule="auto"/>
              <w:rPr>
                <w:rFonts w:ascii="Calibri" w:eastAsia="Times New Roman" w:hAnsi="Calibri" w:cs="Calibri"/>
                <w:color w:val="000000"/>
                <w:lang w:val="es-CL" w:eastAsia="es-CL"/>
              </w:rPr>
            </w:pPr>
            <w:r>
              <w:rPr>
                <w:rFonts w:ascii="Calibri" w:eastAsia="Times New Roman" w:hAnsi="Calibri" w:cs="Calibri"/>
                <w:color w:val="000000"/>
                <w:lang w:val="es-CL" w:eastAsia="es-CL"/>
              </w:rPr>
              <w:t>China</w:t>
            </w:r>
            <w:r w:rsidR="000B6015">
              <w:rPr>
                <w:rFonts w:ascii="Calibri" w:eastAsia="Times New Roman" w:hAnsi="Calibri" w:cs="Calibri"/>
                <w:color w:val="000000"/>
                <w:lang w:val="es-CL" w:eastAsia="es-CL"/>
              </w:rPr>
              <w:t xml:space="preserve"> Inf.</w:t>
            </w:r>
          </w:p>
        </w:tc>
        <w:tc>
          <w:tcPr>
            <w:tcW w:w="1285" w:type="dxa"/>
            <w:tcBorders>
              <w:top w:val="nil"/>
              <w:left w:val="nil"/>
              <w:bottom w:val="single" w:sz="4" w:space="0" w:color="auto"/>
              <w:right w:val="single" w:sz="4" w:space="0" w:color="auto"/>
            </w:tcBorders>
            <w:noWrap/>
            <w:vAlign w:val="bottom"/>
            <w:hideMark/>
          </w:tcPr>
          <w:p w14:paraId="56589DF0"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0.0459</w:t>
            </w:r>
          </w:p>
        </w:tc>
        <w:tc>
          <w:tcPr>
            <w:tcW w:w="1285" w:type="dxa"/>
            <w:tcBorders>
              <w:top w:val="nil"/>
              <w:left w:val="nil"/>
              <w:bottom w:val="single" w:sz="4" w:space="0" w:color="auto"/>
              <w:right w:val="single" w:sz="4" w:space="0" w:color="auto"/>
            </w:tcBorders>
            <w:noWrap/>
            <w:vAlign w:val="bottom"/>
            <w:hideMark/>
          </w:tcPr>
          <w:p w14:paraId="20AFF155"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0.0390</w:t>
            </w:r>
          </w:p>
        </w:tc>
        <w:tc>
          <w:tcPr>
            <w:tcW w:w="1285" w:type="dxa"/>
            <w:tcBorders>
              <w:top w:val="nil"/>
              <w:left w:val="nil"/>
              <w:bottom w:val="single" w:sz="4" w:space="0" w:color="auto"/>
              <w:right w:val="single" w:sz="4" w:space="0" w:color="auto"/>
            </w:tcBorders>
            <w:noWrap/>
            <w:vAlign w:val="bottom"/>
            <w:hideMark/>
          </w:tcPr>
          <w:p w14:paraId="18CA07FF"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1.18</w:t>
            </w:r>
          </w:p>
        </w:tc>
        <w:tc>
          <w:tcPr>
            <w:tcW w:w="1285" w:type="dxa"/>
            <w:tcBorders>
              <w:top w:val="nil"/>
              <w:left w:val="nil"/>
              <w:bottom w:val="single" w:sz="4" w:space="0" w:color="auto"/>
              <w:right w:val="single" w:sz="4" w:space="0" w:color="auto"/>
            </w:tcBorders>
            <w:noWrap/>
            <w:vAlign w:val="bottom"/>
            <w:hideMark/>
          </w:tcPr>
          <w:p w14:paraId="19A18B5E"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0.238</w:t>
            </w:r>
          </w:p>
        </w:tc>
        <w:tc>
          <w:tcPr>
            <w:tcW w:w="1348" w:type="dxa"/>
            <w:tcBorders>
              <w:top w:val="nil"/>
              <w:left w:val="nil"/>
              <w:bottom w:val="single" w:sz="4" w:space="0" w:color="auto"/>
              <w:right w:val="single" w:sz="4" w:space="0" w:color="auto"/>
            </w:tcBorders>
            <w:noWrap/>
            <w:vAlign w:val="bottom"/>
            <w:hideMark/>
          </w:tcPr>
          <w:p w14:paraId="656C64CC"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-0.0304</w:t>
            </w:r>
          </w:p>
        </w:tc>
        <w:tc>
          <w:tcPr>
            <w:tcW w:w="1221" w:type="dxa"/>
            <w:tcBorders>
              <w:top w:val="nil"/>
              <w:left w:val="nil"/>
              <w:bottom w:val="single" w:sz="4" w:space="0" w:color="auto"/>
              <w:right w:val="single" w:sz="4" w:space="0" w:color="auto"/>
            </w:tcBorders>
            <w:noWrap/>
            <w:vAlign w:val="bottom"/>
            <w:hideMark/>
          </w:tcPr>
          <w:p w14:paraId="0A63C32D"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0.1223</w:t>
            </w:r>
          </w:p>
        </w:tc>
      </w:tr>
      <w:tr w:rsidR="0014026B" w14:paraId="5167AEEB" w14:textId="77777777" w:rsidTr="0014026B">
        <w:trPr>
          <w:trHeight w:val="290"/>
        </w:trPr>
        <w:tc>
          <w:tcPr>
            <w:tcW w:w="1371" w:type="dxa"/>
            <w:tcBorders>
              <w:top w:val="nil"/>
              <w:left w:val="single" w:sz="4" w:space="0" w:color="auto"/>
              <w:bottom w:val="single" w:sz="4" w:space="0" w:color="auto"/>
              <w:right w:val="single" w:sz="4" w:space="0" w:color="auto"/>
            </w:tcBorders>
            <w:noWrap/>
            <w:vAlign w:val="bottom"/>
            <w:hideMark/>
          </w:tcPr>
          <w:p w14:paraId="1DFD72F8" w14:textId="52E1F7C5" w:rsidR="0014026B" w:rsidRDefault="0014026B">
            <w:pPr>
              <w:spacing w:after="0" w:line="240" w:lineRule="auto"/>
              <w:rPr>
                <w:rFonts w:ascii="Calibri" w:eastAsia="Times New Roman" w:hAnsi="Calibri" w:cs="Calibri"/>
                <w:color w:val="000000"/>
                <w:lang w:val="es-CL" w:eastAsia="es-CL"/>
              </w:rPr>
            </w:pPr>
            <w:r>
              <w:rPr>
                <w:rFonts w:ascii="Calibri" w:eastAsia="Times New Roman" w:hAnsi="Calibri" w:cs="Calibri"/>
                <w:color w:val="000000"/>
                <w:lang w:val="es-CL" w:eastAsia="es-CL"/>
              </w:rPr>
              <w:t>Eurozon</w:t>
            </w:r>
            <w:r w:rsidR="000B6015">
              <w:rPr>
                <w:rFonts w:ascii="Calibri" w:eastAsia="Times New Roman" w:hAnsi="Calibri" w:cs="Calibri"/>
                <w:color w:val="000000"/>
                <w:lang w:val="es-CL" w:eastAsia="es-CL"/>
              </w:rPr>
              <w:t>e Inf.</w:t>
            </w:r>
          </w:p>
        </w:tc>
        <w:tc>
          <w:tcPr>
            <w:tcW w:w="1285" w:type="dxa"/>
            <w:tcBorders>
              <w:top w:val="nil"/>
              <w:left w:val="nil"/>
              <w:bottom w:val="single" w:sz="4" w:space="0" w:color="auto"/>
              <w:right w:val="single" w:sz="4" w:space="0" w:color="auto"/>
            </w:tcBorders>
            <w:noWrap/>
            <w:vAlign w:val="bottom"/>
            <w:hideMark/>
          </w:tcPr>
          <w:p w14:paraId="1F304C11"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0.0310</w:t>
            </w:r>
          </w:p>
        </w:tc>
        <w:tc>
          <w:tcPr>
            <w:tcW w:w="1285" w:type="dxa"/>
            <w:tcBorders>
              <w:top w:val="nil"/>
              <w:left w:val="nil"/>
              <w:bottom w:val="single" w:sz="4" w:space="0" w:color="auto"/>
              <w:right w:val="single" w:sz="4" w:space="0" w:color="auto"/>
            </w:tcBorders>
            <w:noWrap/>
            <w:vAlign w:val="bottom"/>
            <w:hideMark/>
          </w:tcPr>
          <w:p w14:paraId="1AE2F5F4"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0.0490</w:t>
            </w:r>
          </w:p>
        </w:tc>
        <w:tc>
          <w:tcPr>
            <w:tcW w:w="1285" w:type="dxa"/>
            <w:tcBorders>
              <w:top w:val="nil"/>
              <w:left w:val="nil"/>
              <w:bottom w:val="single" w:sz="4" w:space="0" w:color="auto"/>
              <w:right w:val="single" w:sz="4" w:space="0" w:color="auto"/>
            </w:tcBorders>
            <w:noWrap/>
            <w:vAlign w:val="bottom"/>
            <w:hideMark/>
          </w:tcPr>
          <w:p w14:paraId="100259F3"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0.63</w:t>
            </w:r>
          </w:p>
        </w:tc>
        <w:tc>
          <w:tcPr>
            <w:tcW w:w="1285" w:type="dxa"/>
            <w:tcBorders>
              <w:top w:val="nil"/>
              <w:left w:val="nil"/>
              <w:bottom w:val="single" w:sz="4" w:space="0" w:color="auto"/>
              <w:right w:val="single" w:sz="4" w:space="0" w:color="auto"/>
            </w:tcBorders>
            <w:noWrap/>
            <w:vAlign w:val="bottom"/>
            <w:hideMark/>
          </w:tcPr>
          <w:p w14:paraId="45417D9E"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0.527</w:t>
            </w:r>
          </w:p>
        </w:tc>
        <w:tc>
          <w:tcPr>
            <w:tcW w:w="1348" w:type="dxa"/>
            <w:tcBorders>
              <w:top w:val="nil"/>
              <w:left w:val="nil"/>
              <w:bottom w:val="single" w:sz="4" w:space="0" w:color="auto"/>
              <w:right w:val="single" w:sz="4" w:space="0" w:color="auto"/>
            </w:tcBorders>
            <w:noWrap/>
            <w:vAlign w:val="bottom"/>
            <w:hideMark/>
          </w:tcPr>
          <w:p w14:paraId="7C7CF508"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-0.0651</w:t>
            </w:r>
          </w:p>
        </w:tc>
        <w:tc>
          <w:tcPr>
            <w:tcW w:w="1221" w:type="dxa"/>
            <w:tcBorders>
              <w:top w:val="nil"/>
              <w:left w:val="nil"/>
              <w:bottom w:val="single" w:sz="4" w:space="0" w:color="auto"/>
              <w:right w:val="single" w:sz="4" w:space="0" w:color="auto"/>
            </w:tcBorders>
            <w:noWrap/>
            <w:vAlign w:val="bottom"/>
            <w:hideMark/>
          </w:tcPr>
          <w:p w14:paraId="60D11D8E"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0.1272</w:t>
            </w:r>
          </w:p>
        </w:tc>
      </w:tr>
      <w:tr w:rsidR="0014026B" w14:paraId="40B3C6D8" w14:textId="77777777" w:rsidTr="0014026B">
        <w:trPr>
          <w:trHeight w:val="290"/>
        </w:trPr>
        <w:tc>
          <w:tcPr>
            <w:tcW w:w="1371" w:type="dxa"/>
            <w:tcBorders>
              <w:top w:val="nil"/>
              <w:left w:val="single" w:sz="4" w:space="0" w:color="auto"/>
              <w:bottom w:val="single" w:sz="4" w:space="0" w:color="auto"/>
              <w:right w:val="single" w:sz="4" w:space="0" w:color="auto"/>
            </w:tcBorders>
            <w:noWrap/>
            <w:hideMark/>
          </w:tcPr>
          <w:p w14:paraId="11AE6183" w14:textId="77777777" w:rsidR="0014026B" w:rsidRDefault="0062217F">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1</m:t>
                    </m:r>
                  </m:sub>
                </m:sSub>
              </m:oMath>
            </m:oMathPara>
          </w:p>
        </w:tc>
        <w:tc>
          <w:tcPr>
            <w:tcW w:w="1285" w:type="dxa"/>
            <w:tcBorders>
              <w:top w:val="nil"/>
              <w:left w:val="nil"/>
              <w:bottom w:val="single" w:sz="4" w:space="0" w:color="auto"/>
              <w:right w:val="single" w:sz="4" w:space="0" w:color="auto"/>
            </w:tcBorders>
            <w:noWrap/>
            <w:vAlign w:val="bottom"/>
            <w:hideMark/>
          </w:tcPr>
          <w:p w14:paraId="69DFA6E5"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-0.0001</w:t>
            </w:r>
          </w:p>
        </w:tc>
        <w:tc>
          <w:tcPr>
            <w:tcW w:w="1285" w:type="dxa"/>
            <w:tcBorders>
              <w:top w:val="nil"/>
              <w:left w:val="nil"/>
              <w:bottom w:val="single" w:sz="4" w:space="0" w:color="auto"/>
              <w:right w:val="single" w:sz="4" w:space="0" w:color="auto"/>
            </w:tcBorders>
            <w:noWrap/>
            <w:vAlign w:val="bottom"/>
            <w:hideMark/>
          </w:tcPr>
          <w:p w14:paraId="441283E5"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0.0015</w:t>
            </w:r>
          </w:p>
        </w:tc>
        <w:tc>
          <w:tcPr>
            <w:tcW w:w="1285" w:type="dxa"/>
            <w:tcBorders>
              <w:top w:val="nil"/>
              <w:left w:val="nil"/>
              <w:bottom w:val="single" w:sz="4" w:space="0" w:color="auto"/>
              <w:right w:val="single" w:sz="4" w:space="0" w:color="auto"/>
            </w:tcBorders>
            <w:noWrap/>
            <w:vAlign w:val="bottom"/>
            <w:hideMark/>
          </w:tcPr>
          <w:p w14:paraId="155AC6D4"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-0.07</w:t>
            </w:r>
          </w:p>
        </w:tc>
        <w:tc>
          <w:tcPr>
            <w:tcW w:w="1285" w:type="dxa"/>
            <w:tcBorders>
              <w:top w:val="nil"/>
              <w:left w:val="nil"/>
              <w:bottom w:val="single" w:sz="4" w:space="0" w:color="auto"/>
              <w:right w:val="single" w:sz="4" w:space="0" w:color="auto"/>
            </w:tcBorders>
            <w:noWrap/>
            <w:vAlign w:val="bottom"/>
            <w:hideMark/>
          </w:tcPr>
          <w:p w14:paraId="568A764D"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0.948</w:t>
            </w:r>
          </w:p>
        </w:tc>
        <w:tc>
          <w:tcPr>
            <w:tcW w:w="1348" w:type="dxa"/>
            <w:tcBorders>
              <w:top w:val="nil"/>
              <w:left w:val="nil"/>
              <w:bottom w:val="single" w:sz="4" w:space="0" w:color="auto"/>
              <w:right w:val="single" w:sz="4" w:space="0" w:color="auto"/>
            </w:tcBorders>
            <w:noWrap/>
            <w:vAlign w:val="bottom"/>
            <w:hideMark/>
          </w:tcPr>
          <w:p w14:paraId="18E94629"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-0.0030</w:t>
            </w:r>
          </w:p>
        </w:tc>
        <w:tc>
          <w:tcPr>
            <w:tcW w:w="1221" w:type="dxa"/>
            <w:tcBorders>
              <w:top w:val="nil"/>
              <w:left w:val="nil"/>
              <w:bottom w:val="single" w:sz="4" w:space="0" w:color="auto"/>
              <w:right w:val="single" w:sz="4" w:space="0" w:color="auto"/>
            </w:tcBorders>
            <w:noWrap/>
            <w:vAlign w:val="bottom"/>
            <w:hideMark/>
          </w:tcPr>
          <w:p w14:paraId="483552BC"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0.0028</w:t>
            </w:r>
          </w:p>
        </w:tc>
      </w:tr>
      <w:tr w:rsidR="0014026B" w14:paraId="7F76B76F" w14:textId="77777777" w:rsidTr="0014026B">
        <w:trPr>
          <w:trHeight w:val="290"/>
        </w:trPr>
        <w:tc>
          <w:tcPr>
            <w:tcW w:w="1371" w:type="dxa"/>
            <w:tcBorders>
              <w:top w:val="nil"/>
              <w:left w:val="single" w:sz="4" w:space="0" w:color="auto"/>
              <w:bottom w:val="single" w:sz="4" w:space="0" w:color="auto"/>
              <w:right w:val="single" w:sz="4" w:space="0" w:color="auto"/>
            </w:tcBorders>
            <w:noWrap/>
            <w:hideMark/>
          </w:tcPr>
          <w:p w14:paraId="4BE0306C" w14:textId="77777777" w:rsidR="0014026B" w:rsidRDefault="0062217F">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2</m:t>
                    </m:r>
                  </m:sub>
                </m:sSub>
              </m:oMath>
            </m:oMathPara>
          </w:p>
        </w:tc>
        <w:tc>
          <w:tcPr>
            <w:tcW w:w="1285" w:type="dxa"/>
            <w:tcBorders>
              <w:top w:val="nil"/>
              <w:left w:val="nil"/>
              <w:bottom w:val="single" w:sz="4" w:space="0" w:color="auto"/>
              <w:right w:val="single" w:sz="4" w:space="0" w:color="auto"/>
            </w:tcBorders>
            <w:noWrap/>
            <w:vAlign w:val="bottom"/>
            <w:hideMark/>
          </w:tcPr>
          <w:p w14:paraId="72AE84E9"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-0.0008</w:t>
            </w:r>
          </w:p>
        </w:tc>
        <w:tc>
          <w:tcPr>
            <w:tcW w:w="1285" w:type="dxa"/>
            <w:tcBorders>
              <w:top w:val="nil"/>
              <w:left w:val="nil"/>
              <w:bottom w:val="single" w:sz="4" w:space="0" w:color="auto"/>
              <w:right w:val="single" w:sz="4" w:space="0" w:color="auto"/>
            </w:tcBorders>
            <w:noWrap/>
            <w:vAlign w:val="bottom"/>
            <w:hideMark/>
          </w:tcPr>
          <w:p w14:paraId="2C2DCB24"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0.0018</w:t>
            </w:r>
          </w:p>
        </w:tc>
        <w:tc>
          <w:tcPr>
            <w:tcW w:w="1285" w:type="dxa"/>
            <w:tcBorders>
              <w:top w:val="nil"/>
              <w:left w:val="nil"/>
              <w:bottom w:val="single" w:sz="4" w:space="0" w:color="auto"/>
              <w:right w:val="single" w:sz="4" w:space="0" w:color="auto"/>
            </w:tcBorders>
            <w:noWrap/>
            <w:vAlign w:val="bottom"/>
            <w:hideMark/>
          </w:tcPr>
          <w:p w14:paraId="73D6FE84"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-0.46</w:t>
            </w:r>
          </w:p>
        </w:tc>
        <w:tc>
          <w:tcPr>
            <w:tcW w:w="1285" w:type="dxa"/>
            <w:tcBorders>
              <w:top w:val="nil"/>
              <w:left w:val="nil"/>
              <w:bottom w:val="single" w:sz="4" w:space="0" w:color="auto"/>
              <w:right w:val="single" w:sz="4" w:space="0" w:color="auto"/>
            </w:tcBorders>
            <w:noWrap/>
            <w:vAlign w:val="bottom"/>
            <w:hideMark/>
          </w:tcPr>
          <w:p w14:paraId="19EEF103"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0.644</w:t>
            </w:r>
          </w:p>
        </w:tc>
        <w:tc>
          <w:tcPr>
            <w:tcW w:w="1348" w:type="dxa"/>
            <w:tcBorders>
              <w:top w:val="nil"/>
              <w:left w:val="nil"/>
              <w:bottom w:val="single" w:sz="4" w:space="0" w:color="auto"/>
              <w:right w:val="single" w:sz="4" w:space="0" w:color="auto"/>
            </w:tcBorders>
            <w:noWrap/>
            <w:vAlign w:val="bottom"/>
            <w:hideMark/>
          </w:tcPr>
          <w:p w14:paraId="7EA0B8A8"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-0.0043</w:t>
            </w:r>
          </w:p>
        </w:tc>
        <w:tc>
          <w:tcPr>
            <w:tcW w:w="1221" w:type="dxa"/>
            <w:tcBorders>
              <w:top w:val="nil"/>
              <w:left w:val="nil"/>
              <w:bottom w:val="single" w:sz="4" w:space="0" w:color="auto"/>
              <w:right w:val="single" w:sz="4" w:space="0" w:color="auto"/>
            </w:tcBorders>
            <w:noWrap/>
            <w:vAlign w:val="bottom"/>
            <w:hideMark/>
          </w:tcPr>
          <w:p w14:paraId="76D90A8D"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0.0026</w:t>
            </w:r>
          </w:p>
        </w:tc>
      </w:tr>
      <w:tr w:rsidR="0014026B" w14:paraId="7C997166" w14:textId="77777777" w:rsidTr="0014026B">
        <w:trPr>
          <w:trHeight w:val="290"/>
        </w:trPr>
        <w:tc>
          <w:tcPr>
            <w:tcW w:w="1371" w:type="dxa"/>
            <w:tcBorders>
              <w:top w:val="nil"/>
              <w:left w:val="single" w:sz="4" w:space="0" w:color="auto"/>
              <w:bottom w:val="single" w:sz="4" w:space="0" w:color="auto"/>
              <w:right w:val="single" w:sz="4" w:space="0" w:color="auto"/>
            </w:tcBorders>
            <w:noWrap/>
            <w:hideMark/>
          </w:tcPr>
          <w:p w14:paraId="0868130A" w14:textId="77777777" w:rsidR="0014026B" w:rsidRDefault="0062217F">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3</m:t>
                    </m:r>
                  </m:sub>
                </m:sSub>
              </m:oMath>
            </m:oMathPara>
          </w:p>
        </w:tc>
        <w:tc>
          <w:tcPr>
            <w:tcW w:w="1285" w:type="dxa"/>
            <w:tcBorders>
              <w:top w:val="nil"/>
              <w:left w:val="nil"/>
              <w:bottom w:val="single" w:sz="4" w:space="0" w:color="auto"/>
              <w:right w:val="single" w:sz="4" w:space="0" w:color="auto"/>
            </w:tcBorders>
            <w:noWrap/>
            <w:vAlign w:val="bottom"/>
            <w:hideMark/>
          </w:tcPr>
          <w:p w14:paraId="1BAF27E6"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0.0015</w:t>
            </w:r>
          </w:p>
        </w:tc>
        <w:tc>
          <w:tcPr>
            <w:tcW w:w="1285" w:type="dxa"/>
            <w:tcBorders>
              <w:top w:val="nil"/>
              <w:left w:val="nil"/>
              <w:bottom w:val="single" w:sz="4" w:space="0" w:color="auto"/>
              <w:right w:val="single" w:sz="4" w:space="0" w:color="auto"/>
            </w:tcBorders>
            <w:noWrap/>
            <w:vAlign w:val="bottom"/>
            <w:hideMark/>
          </w:tcPr>
          <w:p w14:paraId="299A5E0D"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0.0012</w:t>
            </w:r>
          </w:p>
        </w:tc>
        <w:tc>
          <w:tcPr>
            <w:tcW w:w="1285" w:type="dxa"/>
            <w:tcBorders>
              <w:top w:val="nil"/>
              <w:left w:val="nil"/>
              <w:bottom w:val="single" w:sz="4" w:space="0" w:color="auto"/>
              <w:right w:val="single" w:sz="4" w:space="0" w:color="auto"/>
            </w:tcBorders>
            <w:noWrap/>
            <w:vAlign w:val="bottom"/>
            <w:hideMark/>
          </w:tcPr>
          <w:p w14:paraId="2216D4BE"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1.25</w:t>
            </w:r>
          </w:p>
        </w:tc>
        <w:tc>
          <w:tcPr>
            <w:tcW w:w="1285" w:type="dxa"/>
            <w:tcBorders>
              <w:top w:val="nil"/>
              <w:left w:val="nil"/>
              <w:bottom w:val="single" w:sz="4" w:space="0" w:color="auto"/>
              <w:right w:val="single" w:sz="4" w:space="0" w:color="auto"/>
            </w:tcBorders>
            <w:noWrap/>
            <w:vAlign w:val="bottom"/>
            <w:hideMark/>
          </w:tcPr>
          <w:p w14:paraId="60EC4374"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0.211</w:t>
            </w:r>
          </w:p>
        </w:tc>
        <w:tc>
          <w:tcPr>
            <w:tcW w:w="1348" w:type="dxa"/>
            <w:tcBorders>
              <w:top w:val="nil"/>
              <w:left w:val="nil"/>
              <w:bottom w:val="single" w:sz="4" w:space="0" w:color="auto"/>
              <w:right w:val="single" w:sz="4" w:space="0" w:color="auto"/>
            </w:tcBorders>
            <w:noWrap/>
            <w:vAlign w:val="bottom"/>
            <w:hideMark/>
          </w:tcPr>
          <w:p w14:paraId="62E4AF73"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-0.0008</w:t>
            </w:r>
          </w:p>
        </w:tc>
        <w:tc>
          <w:tcPr>
            <w:tcW w:w="1221" w:type="dxa"/>
            <w:tcBorders>
              <w:top w:val="nil"/>
              <w:left w:val="nil"/>
              <w:bottom w:val="single" w:sz="4" w:space="0" w:color="auto"/>
              <w:right w:val="single" w:sz="4" w:space="0" w:color="auto"/>
            </w:tcBorders>
            <w:noWrap/>
            <w:vAlign w:val="bottom"/>
            <w:hideMark/>
          </w:tcPr>
          <w:p w14:paraId="7A2BC7B5"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0.0038</w:t>
            </w:r>
          </w:p>
        </w:tc>
      </w:tr>
      <w:tr w:rsidR="0014026B" w14:paraId="0C4C6033" w14:textId="77777777" w:rsidTr="0014026B">
        <w:trPr>
          <w:trHeight w:val="290"/>
        </w:trPr>
        <w:tc>
          <w:tcPr>
            <w:tcW w:w="1371" w:type="dxa"/>
            <w:tcBorders>
              <w:top w:val="nil"/>
              <w:left w:val="single" w:sz="4" w:space="0" w:color="auto"/>
              <w:bottom w:val="single" w:sz="4" w:space="0" w:color="auto"/>
              <w:right w:val="single" w:sz="4" w:space="0" w:color="auto"/>
            </w:tcBorders>
            <w:noWrap/>
            <w:hideMark/>
          </w:tcPr>
          <w:p w14:paraId="25A03FA1" w14:textId="77777777" w:rsidR="0014026B" w:rsidRDefault="0062217F">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4</m:t>
                    </m:r>
                  </m:sub>
                </m:sSub>
              </m:oMath>
            </m:oMathPara>
          </w:p>
        </w:tc>
        <w:tc>
          <w:tcPr>
            <w:tcW w:w="1285" w:type="dxa"/>
            <w:tcBorders>
              <w:top w:val="nil"/>
              <w:left w:val="nil"/>
              <w:bottom w:val="single" w:sz="4" w:space="0" w:color="auto"/>
              <w:right w:val="single" w:sz="4" w:space="0" w:color="auto"/>
            </w:tcBorders>
            <w:noWrap/>
            <w:vAlign w:val="bottom"/>
            <w:hideMark/>
          </w:tcPr>
          <w:p w14:paraId="0FB5DAC8"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0.0026</w:t>
            </w:r>
          </w:p>
        </w:tc>
        <w:tc>
          <w:tcPr>
            <w:tcW w:w="1285" w:type="dxa"/>
            <w:tcBorders>
              <w:top w:val="nil"/>
              <w:left w:val="nil"/>
              <w:bottom w:val="single" w:sz="4" w:space="0" w:color="auto"/>
              <w:right w:val="single" w:sz="4" w:space="0" w:color="auto"/>
            </w:tcBorders>
            <w:noWrap/>
            <w:vAlign w:val="bottom"/>
            <w:hideMark/>
          </w:tcPr>
          <w:p w14:paraId="4E96F595"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0.0015</w:t>
            </w:r>
          </w:p>
        </w:tc>
        <w:tc>
          <w:tcPr>
            <w:tcW w:w="1285" w:type="dxa"/>
            <w:tcBorders>
              <w:top w:val="nil"/>
              <w:left w:val="nil"/>
              <w:bottom w:val="single" w:sz="4" w:space="0" w:color="auto"/>
              <w:right w:val="single" w:sz="4" w:space="0" w:color="auto"/>
            </w:tcBorders>
            <w:noWrap/>
            <w:vAlign w:val="bottom"/>
            <w:hideMark/>
          </w:tcPr>
          <w:p w14:paraId="1058478C"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1.71</w:t>
            </w:r>
          </w:p>
        </w:tc>
        <w:tc>
          <w:tcPr>
            <w:tcW w:w="1285" w:type="dxa"/>
            <w:tcBorders>
              <w:top w:val="nil"/>
              <w:left w:val="nil"/>
              <w:bottom w:val="single" w:sz="4" w:space="0" w:color="auto"/>
              <w:right w:val="single" w:sz="4" w:space="0" w:color="auto"/>
            </w:tcBorders>
            <w:noWrap/>
            <w:vAlign w:val="bottom"/>
            <w:hideMark/>
          </w:tcPr>
          <w:p w14:paraId="25BD8759"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0.088</w:t>
            </w:r>
          </w:p>
        </w:tc>
        <w:tc>
          <w:tcPr>
            <w:tcW w:w="1348" w:type="dxa"/>
            <w:tcBorders>
              <w:top w:val="nil"/>
              <w:left w:val="nil"/>
              <w:bottom w:val="single" w:sz="4" w:space="0" w:color="auto"/>
              <w:right w:val="single" w:sz="4" w:space="0" w:color="auto"/>
            </w:tcBorders>
            <w:noWrap/>
            <w:vAlign w:val="bottom"/>
            <w:hideMark/>
          </w:tcPr>
          <w:p w14:paraId="72FE31BA"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-0.0004</w:t>
            </w:r>
          </w:p>
        </w:tc>
        <w:tc>
          <w:tcPr>
            <w:tcW w:w="1221" w:type="dxa"/>
            <w:tcBorders>
              <w:top w:val="nil"/>
              <w:left w:val="nil"/>
              <w:bottom w:val="single" w:sz="4" w:space="0" w:color="auto"/>
              <w:right w:val="single" w:sz="4" w:space="0" w:color="auto"/>
            </w:tcBorders>
            <w:noWrap/>
            <w:vAlign w:val="bottom"/>
            <w:hideMark/>
          </w:tcPr>
          <w:p w14:paraId="1CC6A8F4"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0.0055</w:t>
            </w:r>
          </w:p>
        </w:tc>
      </w:tr>
      <w:tr w:rsidR="0014026B" w14:paraId="23F164FB" w14:textId="77777777" w:rsidTr="0014026B">
        <w:trPr>
          <w:trHeight w:val="290"/>
        </w:trPr>
        <w:tc>
          <w:tcPr>
            <w:tcW w:w="1371" w:type="dxa"/>
            <w:tcBorders>
              <w:top w:val="nil"/>
              <w:left w:val="single" w:sz="4" w:space="0" w:color="auto"/>
              <w:bottom w:val="single" w:sz="4" w:space="0" w:color="auto"/>
              <w:right w:val="single" w:sz="4" w:space="0" w:color="auto"/>
            </w:tcBorders>
            <w:noWrap/>
            <w:hideMark/>
          </w:tcPr>
          <w:p w14:paraId="691349E9" w14:textId="77777777" w:rsidR="0014026B" w:rsidRDefault="0062217F">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5</m:t>
                    </m:r>
                  </m:sub>
                </m:sSub>
              </m:oMath>
            </m:oMathPara>
          </w:p>
        </w:tc>
        <w:tc>
          <w:tcPr>
            <w:tcW w:w="1285" w:type="dxa"/>
            <w:tcBorders>
              <w:top w:val="nil"/>
              <w:left w:val="nil"/>
              <w:bottom w:val="single" w:sz="4" w:space="0" w:color="auto"/>
              <w:right w:val="single" w:sz="4" w:space="0" w:color="auto"/>
            </w:tcBorders>
            <w:noWrap/>
            <w:vAlign w:val="bottom"/>
            <w:hideMark/>
          </w:tcPr>
          <w:p w14:paraId="24075121"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0.0000</w:t>
            </w:r>
          </w:p>
        </w:tc>
        <w:tc>
          <w:tcPr>
            <w:tcW w:w="1285" w:type="dxa"/>
            <w:tcBorders>
              <w:top w:val="nil"/>
              <w:left w:val="nil"/>
              <w:bottom w:val="single" w:sz="4" w:space="0" w:color="auto"/>
              <w:right w:val="single" w:sz="4" w:space="0" w:color="auto"/>
            </w:tcBorders>
            <w:noWrap/>
            <w:vAlign w:val="bottom"/>
            <w:hideMark/>
          </w:tcPr>
          <w:p w14:paraId="47C01E87"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0.0016</w:t>
            </w:r>
          </w:p>
        </w:tc>
        <w:tc>
          <w:tcPr>
            <w:tcW w:w="1285" w:type="dxa"/>
            <w:tcBorders>
              <w:top w:val="nil"/>
              <w:left w:val="nil"/>
              <w:bottom w:val="single" w:sz="4" w:space="0" w:color="auto"/>
              <w:right w:val="single" w:sz="4" w:space="0" w:color="auto"/>
            </w:tcBorders>
            <w:noWrap/>
            <w:vAlign w:val="bottom"/>
            <w:hideMark/>
          </w:tcPr>
          <w:p w14:paraId="305FFC15"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0.01</w:t>
            </w:r>
          </w:p>
        </w:tc>
        <w:tc>
          <w:tcPr>
            <w:tcW w:w="1285" w:type="dxa"/>
            <w:tcBorders>
              <w:top w:val="nil"/>
              <w:left w:val="nil"/>
              <w:bottom w:val="single" w:sz="4" w:space="0" w:color="auto"/>
              <w:right w:val="single" w:sz="4" w:space="0" w:color="auto"/>
            </w:tcBorders>
            <w:noWrap/>
            <w:vAlign w:val="bottom"/>
            <w:hideMark/>
          </w:tcPr>
          <w:p w14:paraId="6D567FB4"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0.992</w:t>
            </w:r>
          </w:p>
        </w:tc>
        <w:tc>
          <w:tcPr>
            <w:tcW w:w="1348" w:type="dxa"/>
            <w:tcBorders>
              <w:top w:val="nil"/>
              <w:left w:val="nil"/>
              <w:bottom w:val="single" w:sz="4" w:space="0" w:color="auto"/>
              <w:right w:val="single" w:sz="4" w:space="0" w:color="auto"/>
            </w:tcBorders>
            <w:noWrap/>
            <w:vAlign w:val="bottom"/>
            <w:hideMark/>
          </w:tcPr>
          <w:p w14:paraId="2A6E0092"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-0.0031</w:t>
            </w:r>
          </w:p>
        </w:tc>
        <w:tc>
          <w:tcPr>
            <w:tcW w:w="1221" w:type="dxa"/>
            <w:tcBorders>
              <w:top w:val="nil"/>
              <w:left w:val="nil"/>
              <w:bottom w:val="single" w:sz="4" w:space="0" w:color="auto"/>
              <w:right w:val="single" w:sz="4" w:space="0" w:color="auto"/>
            </w:tcBorders>
            <w:noWrap/>
            <w:vAlign w:val="bottom"/>
            <w:hideMark/>
          </w:tcPr>
          <w:p w14:paraId="5918B555"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0.0031</w:t>
            </w:r>
          </w:p>
        </w:tc>
      </w:tr>
      <w:tr w:rsidR="0014026B" w14:paraId="5AD5972C" w14:textId="77777777" w:rsidTr="0014026B">
        <w:trPr>
          <w:trHeight w:val="290"/>
        </w:trPr>
        <w:tc>
          <w:tcPr>
            <w:tcW w:w="1371" w:type="dxa"/>
            <w:tcBorders>
              <w:top w:val="nil"/>
              <w:left w:val="single" w:sz="4" w:space="0" w:color="auto"/>
              <w:bottom w:val="single" w:sz="4" w:space="0" w:color="auto"/>
              <w:right w:val="single" w:sz="4" w:space="0" w:color="auto"/>
            </w:tcBorders>
            <w:noWrap/>
            <w:hideMark/>
          </w:tcPr>
          <w:p w14:paraId="7EBBC89F" w14:textId="77777777" w:rsidR="0014026B" w:rsidRDefault="0062217F">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6</m:t>
                    </m:r>
                  </m:sub>
                </m:sSub>
              </m:oMath>
            </m:oMathPara>
          </w:p>
        </w:tc>
        <w:tc>
          <w:tcPr>
            <w:tcW w:w="1285" w:type="dxa"/>
            <w:tcBorders>
              <w:top w:val="nil"/>
              <w:left w:val="nil"/>
              <w:bottom w:val="single" w:sz="4" w:space="0" w:color="auto"/>
              <w:right w:val="single" w:sz="4" w:space="0" w:color="auto"/>
            </w:tcBorders>
            <w:noWrap/>
            <w:vAlign w:val="bottom"/>
            <w:hideMark/>
          </w:tcPr>
          <w:p w14:paraId="050C7AFE"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-0.0021</w:t>
            </w:r>
          </w:p>
        </w:tc>
        <w:tc>
          <w:tcPr>
            <w:tcW w:w="1285" w:type="dxa"/>
            <w:tcBorders>
              <w:top w:val="nil"/>
              <w:left w:val="nil"/>
              <w:bottom w:val="single" w:sz="4" w:space="0" w:color="auto"/>
              <w:right w:val="single" w:sz="4" w:space="0" w:color="auto"/>
            </w:tcBorders>
            <w:noWrap/>
            <w:vAlign w:val="bottom"/>
            <w:hideMark/>
          </w:tcPr>
          <w:p w14:paraId="4AD7263C"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0.0019</w:t>
            </w:r>
          </w:p>
        </w:tc>
        <w:tc>
          <w:tcPr>
            <w:tcW w:w="1285" w:type="dxa"/>
            <w:tcBorders>
              <w:top w:val="nil"/>
              <w:left w:val="nil"/>
              <w:bottom w:val="single" w:sz="4" w:space="0" w:color="auto"/>
              <w:right w:val="single" w:sz="4" w:space="0" w:color="auto"/>
            </w:tcBorders>
            <w:noWrap/>
            <w:vAlign w:val="bottom"/>
            <w:hideMark/>
          </w:tcPr>
          <w:p w14:paraId="3AE29BF9"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-1.13</w:t>
            </w:r>
          </w:p>
        </w:tc>
        <w:tc>
          <w:tcPr>
            <w:tcW w:w="1285" w:type="dxa"/>
            <w:tcBorders>
              <w:top w:val="nil"/>
              <w:left w:val="nil"/>
              <w:bottom w:val="single" w:sz="4" w:space="0" w:color="auto"/>
              <w:right w:val="single" w:sz="4" w:space="0" w:color="auto"/>
            </w:tcBorders>
            <w:noWrap/>
            <w:vAlign w:val="bottom"/>
            <w:hideMark/>
          </w:tcPr>
          <w:p w14:paraId="22866092"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0.258</w:t>
            </w:r>
          </w:p>
        </w:tc>
        <w:tc>
          <w:tcPr>
            <w:tcW w:w="1348" w:type="dxa"/>
            <w:tcBorders>
              <w:top w:val="nil"/>
              <w:left w:val="nil"/>
              <w:bottom w:val="single" w:sz="4" w:space="0" w:color="auto"/>
              <w:right w:val="single" w:sz="4" w:space="0" w:color="auto"/>
            </w:tcBorders>
            <w:noWrap/>
            <w:vAlign w:val="bottom"/>
            <w:hideMark/>
          </w:tcPr>
          <w:p w14:paraId="183394F6"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-0.0057</w:t>
            </w:r>
          </w:p>
        </w:tc>
        <w:tc>
          <w:tcPr>
            <w:tcW w:w="1221" w:type="dxa"/>
            <w:tcBorders>
              <w:top w:val="nil"/>
              <w:left w:val="nil"/>
              <w:bottom w:val="single" w:sz="4" w:space="0" w:color="auto"/>
              <w:right w:val="single" w:sz="4" w:space="0" w:color="auto"/>
            </w:tcBorders>
            <w:noWrap/>
            <w:vAlign w:val="bottom"/>
            <w:hideMark/>
          </w:tcPr>
          <w:p w14:paraId="0DE665A1"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0.0015</w:t>
            </w:r>
          </w:p>
        </w:tc>
      </w:tr>
      <w:tr w:rsidR="0014026B" w14:paraId="0031C402" w14:textId="77777777" w:rsidTr="0014026B">
        <w:trPr>
          <w:trHeight w:val="290"/>
        </w:trPr>
        <w:tc>
          <w:tcPr>
            <w:tcW w:w="1371" w:type="dxa"/>
            <w:tcBorders>
              <w:top w:val="nil"/>
              <w:left w:val="single" w:sz="4" w:space="0" w:color="auto"/>
              <w:bottom w:val="single" w:sz="4" w:space="0" w:color="auto"/>
              <w:right w:val="single" w:sz="4" w:space="0" w:color="auto"/>
            </w:tcBorders>
            <w:noWrap/>
            <w:vAlign w:val="bottom"/>
            <w:hideMark/>
          </w:tcPr>
          <w:p w14:paraId="4F1549FA" w14:textId="7CAF08AE" w:rsidR="0014026B" w:rsidRDefault="0014026B">
            <w:pPr>
              <w:spacing w:after="0" w:line="240" w:lineRule="auto"/>
              <w:rPr>
                <w:rFonts w:ascii="Calibri" w:eastAsia="Times New Roman" w:hAnsi="Calibri" w:cs="Calibri"/>
                <w:color w:val="000000"/>
                <w:lang w:val="es-CL" w:eastAsia="es-CL"/>
              </w:rPr>
            </w:pPr>
            <w:r>
              <w:rPr>
                <w:rFonts w:ascii="Calibri" w:eastAsia="Times New Roman" w:hAnsi="Calibri" w:cs="Calibri"/>
                <w:color w:val="000000"/>
                <w:lang w:val="es-CL" w:eastAsia="es-CL"/>
              </w:rPr>
              <w:t>Chile</w:t>
            </w:r>
            <w:r w:rsidR="000B6015">
              <w:rPr>
                <w:rFonts w:ascii="Calibri" w:eastAsia="Times New Roman" w:hAnsi="Calibri" w:cs="Calibri"/>
                <w:color w:val="000000"/>
                <w:lang w:val="es-CL" w:eastAsia="es-CL"/>
              </w:rPr>
              <w:t xml:space="preserve"> Inf.</w:t>
            </w:r>
            <w:r>
              <w:rPr>
                <w:rFonts w:ascii="Calibri" w:eastAsia="Times New Roman" w:hAnsi="Calibri" w:cs="Calibri"/>
                <w:color w:val="000000"/>
                <w:lang w:val="es-CL" w:eastAsia="es-CL"/>
              </w:rPr>
              <w:t xml:space="preserve"> </w:t>
            </w:r>
            <m:oMath>
              <m:sSub>
                <m:sSubPr>
                  <m:ctrlPr>
                    <w:rPr>
                      <w:rFonts w:ascii="Cambria Math" w:eastAsia="Times New Roman" w:hAnsi="Cambria Math" w:cs="Calibri"/>
                      <w:iCs/>
                      <w:color w:val="000000"/>
                    </w:rPr>
                  </m:ctrlPr>
                </m:sSubPr>
                <m:e>
                  <m:r>
                    <m:rPr>
                      <m:sty m:val="p"/>
                    </m:rPr>
                    <w:rPr>
                      <w:rFonts w:ascii="Cambria Math" w:eastAsia="Times New Roman" w:hAnsi="Cambria Math" w:cs="Calibri"/>
                      <w:color w:val="000000"/>
                    </w:rPr>
                    <m:t>L</m:t>
                  </m:r>
                </m:e>
                <m:sub>
                  <m:r>
                    <m:rPr>
                      <m:sty m:val="p"/>
                    </m:rPr>
                    <w:rPr>
                      <w:rFonts w:ascii="Cambria Math" w:eastAsia="Times New Roman" w:hAnsi="Cambria Math" w:cs="Calibri"/>
                      <w:color w:val="000000"/>
                    </w:rPr>
                    <m:t>1</m:t>
                  </m:r>
                </m:sub>
              </m:sSub>
            </m:oMath>
          </w:p>
        </w:tc>
        <w:tc>
          <w:tcPr>
            <w:tcW w:w="1285" w:type="dxa"/>
            <w:tcBorders>
              <w:top w:val="nil"/>
              <w:left w:val="nil"/>
              <w:bottom w:val="single" w:sz="4" w:space="0" w:color="auto"/>
              <w:right w:val="single" w:sz="4" w:space="0" w:color="auto"/>
            </w:tcBorders>
            <w:noWrap/>
            <w:vAlign w:val="bottom"/>
            <w:hideMark/>
          </w:tcPr>
          <w:p w14:paraId="7EC3D13C"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0.3185</w:t>
            </w:r>
          </w:p>
        </w:tc>
        <w:tc>
          <w:tcPr>
            <w:tcW w:w="1285" w:type="dxa"/>
            <w:tcBorders>
              <w:top w:val="nil"/>
              <w:left w:val="nil"/>
              <w:bottom w:val="single" w:sz="4" w:space="0" w:color="auto"/>
              <w:right w:val="single" w:sz="4" w:space="0" w:color="auto"/>
            </w:tcBorders>
            <w:noWrap/>
            <w:vAlign w:val="bottom"/>
            <w:hideMark/>
          </w:tcPr>
          <w:p w14:paraId="393EEDB3"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0.0746</w:t>
            </w:r>
          </w:p>
        </w:tc>
        <w:tc>
          <w:tcPr>
            <w:tcW w:w="1285" w:type="dxa"/>
            <w:tcBorders>
              <w:top w:val="nil"/>
              <w:left w:val="nil"/>
              <w:bottom w:val="single" w:sz="4" w:space="0" w:color="auto"/>
              <w:right w:val="single" w:sz="4" w:space="0" w:color="auto"/>
            </w:tcBorders>
            <w:noWrap/>
            <w:vAlign w:val="bottom"/>
            <w:hideMark/>
          </w:tcPr>
          <w:p w14:paraId="3E31AC17"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4.27</w:t>
            </w:r>
          </w:p>
        </w:tc>
        <w:tc>
          <w:tcPr>
            <w:tcW w:w="1285" w:type="dxa"/>
            <w:tcBorders>
              <w:top w:val="nil"/>
              <w:left w:val="nil"/>
              <w:bottom w:val="single" w:sz="4" w:space="0" w:color="auto"/>
              <w:right w:val="single" w:sz="4" w:space="0" w:color="auto"/>
            </w:tcBorders>
            <w:noWrap/>
            <w:vAlign w:val="bottom"/>
            <w:hideMark/>
          </w:tcPr>
          <w:p w14:paraId="12A3D3D0"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w:t>
            </w:r>
          </w:p>
        </w:tc>
        <w:tc>
          <w:tcPr>
            <w:tcW w:w="1348" w:type="dxa"/>
            <w:tcBorders>
              <w:top w:val="nil"/>
              <w:left w:val="nil"/>
              <w:bottom w:val="single" w:sz="4" w:space="0" w:color="auto"/>
              <w:right w:val="single" w:sz="4" w:space="0" w:color="auto"/>
            </w:tcBorders>
            <w:noWrap/>
            <w:vAlign w:val="bottom"/>
            <w:hideMark/>
          </w:tcPr>
          <w:p w14:paraId="320183CB"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0.1723</w:t>
            </w:r>
          </w:p>
        </w:tc>
        <w:tc>
          <w:tcPr>
            <w:tcW w:w="1221" w:type="dxa"/>
            <w:tcBorders>
              <w:top w:val="nil"/>
              <w:left w:val="nil"/>
              <w:bottom w:val="single" w:sz="4" w:space="0" w:color="auto"/>
              <w:right w:val="single" w:sz="4" w:space="0" w:color="auto"/>
            </w:tcBorders>
            <w:noWrap/>
            <w:vAlign w:val="bottom"/>
            <w:hideMark/>
          </w:tcPr>
          <w:p w14:paraId="7F29C32E"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0.4648</w:t>
            </w:r>
          </w:p>
        </w:tc>
      </w:tr>
      <w:tr w:rsidR="0014026B" w14:paraId="7CBAD4D3" w14:textId="77777777" w:rsidTr="0014026B">
        <w:trPr>
          <w:trHeight w:val="290"/>
        </w:trPr>
        <w:tc>
          <w:tcPr>
            <w:tcW w:w="1371" w:type="dxa"/>
            <w:tcBorders>
              <w:top w:val="nil"/>
              <w:left w:val="single" w:sz="4" w:space="0" w:color="auto"/>
              <w:bottom w:val="single" w:sz="4" w:space="0" w:color="auto"/>
              <w:right w:val="single" w:sz="4" w:space="0" w:color="auto"/>
            </w:tcBorders>
            <w:noWrap/>
            <w:vAlign w:val="bottom"/>
            <w:hideMark/>
          </w:tcPr>
          <w:p w14:paraId="103943CA" w14:textId="4A07DB33" w:rsidR="0014026B" w:rsidRDefault="000B6015">
            <w:pPr>
              <w:spacing w:after="0" w:line="240" w:lineRule="auto"/>
              <w:rPr>
                <w:rFonts w:ascii="Calibri" w:eastAsia="Times New Roman" w:hAnsi="Calibri" w:cs="Calibri"/>
                <w:color w:val="000000"/>
                <w:lang w:val="es-CL" w:eastAsia="es-CL"/>
              </w:rPr>
            </w:pPr>
            <m:oMath>
              <m:r>
                <w:rPr>
                  <w:rFonts w:ascii="Cambria Math" w:eastAsia="Times New Roman" w:hAnsi="Cambria Math" w:cs="Calibri"/>
                  <w:color w:val="000000"/>
                  <w:lang w:val="es-CL" w:eastAsia="es-CL"/>
                </w:rPr>
                <m:t>∆</m:t>
              </m:r>
            </m:oMath>
            <w:r w:rsidR="0014026B">
              <w:rPr>
                <w:rFonts w:ascii="Calibri" w:eastAsia="Times New Roman" w:hAnsi="Calibri" w:cs="Calibri"/>
                <w:color w:val="000000"/>
                <w:lang w:val="es-CL" w:eastAsia="es-CL"/>
              </w:rPr>
              <w:t xml:space="preserve"> TPM </w:t>
            </w:r>
            <m:oMath>
              <m:sSub>
                <m:sSubPr>
                  <m:ctrlPr>
                    <w:rPr>
                      <w:rFonts w:ascii="Cambria Math" w:eastAsia="Times New Roman" w:hAnsi="Cambria Math" w:cs="Calibri"/>
                      <w:iCs/>
                      <w:color w:val="000000"/>
                    </w:rPr>
                  </m:ctrlPr>
                </m:sSubPr>
                <m:e>
                  <m:r>
                    <m:rPr>
                      <m:sty m:val="p"/>
                    </m:rPr>
                    <w:rPr>
                      <w:rFonts w:ascii="Cambria Math" w:eastAsia="Times New Roman" w:hAnsi="Cambria Math" w:cs="Calibri"/>
                      <w:color w:val="000000"/>
                    </w:rPr>
                    <m:t>L</m:t>
                  </m:r>
                </m:e>
                <m:sub>
                  <m:r>
                    <m:rPr>
                      <m:sty m:val="p"/>
                    </m:rPr>
                    <w:rPr>
                      <w:rFonts w:ascii="Cambria Math" w:eastAsia="Times New Roman" w:hAnsi="Cambria Math" w:cs="Calibri"/>
                      <w:color w:val="000000"/>
                    </w:rPr>
                    <m:t>1</m:t>
                  </m:r>
                </m:sub>
              </m:sSub>
            </m:oMath>
          </w:p>
        </w:tc>
        <w:tc>
          <w:tcPr>
            <w:tcW w:w="1285" w:type="dxa"/>
            <w:tcBorders>
              <w:top w:val="nil"/>
              <w:left w:val="nil"/>
              <w:bottom w:val="single" w:sz="4" w:space="0" w:color="auto"/>
              <w:right w:val="single" w:sz="4" w:space="0" w:color="auto"/>
            </w:tcBorders>
            <w:noWrap/>
            <w:vAlign w:val="bottom"/>
            <w:hideMark/>
          </w:tcPr>
          <w:p w14:paraId="7FEA65A9"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0.0022</w:t>
            </w:r>
          </w:p>
        </w:tc>
        <w:tc>
          <w:tcPr>
            <w:tcW w:w="1285" w:type="dxa"/>
            <w:tcBorders>
              <w:top w:val="nil"/>
              <w:left w:val="nil"/>
              <w:bottom w:val="single" w:sz="4" w:space="0" w:color="auto"/>
              <w:right w:val="single" w:sz="4" w:space="0" w:color="auto"/>
            </w:tcBorders>
            <w:noWrap/>
            <w:vAlign w:val="bottom"/>
            <w:hideMark/>
          </w:tcPr>
          <w:p w14:paraId="5E4B0553"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0.0020</w:t>
            </w:r>
          </w:p>
        </w:tc>
        <w:tc>
          <w:tcPr>
            <w:tcW w:w="1285" w:type="dxa"/>
            <w:tcBorders>
              <w:top w:val="nil"/>
              <w:left w:val="nil"/>
              <w:bottom w:val="single" w:sz="4" w:space="0" w:color="auto"/>
              <w:right w:val="single" w:sz="4" w:space="0" w:color="auto"/>
            </w:tcBorders>
            <w:noWrap/>
            <w:vAlign w:val="bottom"/>
            <w:hideMark/>
          </w:tcPr>
          <w:p w14:paraId="7F183A02"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1.11</w:t>
            </w:r>
          </w:p>
        </w:tc>
        <w:tc>
          <w:tcPr>
            <w:tcW w:w="1285" w:type="dxa"/>
            <w:tcBorders>
              <w:top w:val="nil"/>
              <w:left w:val="nil"/>
              <w:bottom w:val="single" w:sz="4" w:space="0" w:color="auto"/>
              <w:right w:val="single" w:sz="4" w:space="0" w:color="auto"/>
            </w:tcBorders>
            <w:noWrap/>
            <w:vAlign w:val="bottom"/>
            <w:hideMark/>
          </w:tcPr>
          <w:p w14:paraId="5F765E67"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0.268</w:t>
            </w:r>
          </w:p>
        </w:tc>
        <w:tc>
          <w:tcPr>
            <w:tcW w:w="1348" w:type="dxa"/>
            <w:tcBorders>
              <w:top w:val="nil"/>
              <w:left w:val="nil"/>
              <w:bottom w:val="single" w:sz="4" w:space="0" w:color="auto"/>
              <w:right w:val="single" w:sz="4" w:space="0" w:color="auto"/>
            </w:tcBorders>
            <w:noWrap/>
            <w:vAlign w:val="bottom"/>
            <w:hideMark/>
          </w:tcPr>
          <w:p w14:paraId="5B108309"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-0.0017</w:t>
            </w:r>
          </w:p>
        </w:tc>
        <w:tc>
          <w:tcPr>
            <w:tcW w:w="1221" w:type="dxa"/>
            <w:tcBorders>
              <w:top w:val="nil"/>
              <w:left w:val="nil"/>
              <w:bottom w:val="single" w:sz="4" w:space="0" w:color="auto"/>
              <w:right w:val="single" w:sz="4" w:space="0" w:color="auto"/>
            </w:tcBorders>
            <w:noWrap/>
            <w:vAlign w:val="bottom"/>
            <w:hideMark/>
          </w:tcPr>
          <w:p w14:paraId="237FE682"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0.0061</w:t>
            </w:r>
          </w:p>
        </w:tc>
      </w:tr>
      <w:tr w:rsidR="0014026B" w14:paraId="7A233C65" w14:textId="77777777" w:rsidTr="0014026B">
        <w:trPr>
          <w:trHeight w:val="290"/>
        </w:trPr>
        <w:tc>
          <w:tcPr>
            <w:tcW w:w="1371" w:type="dxa"/>
            <w:tcBorders>
              <w:top w:val="nil"/>
              <w:left w:val="single" w:sz="4" w:space="0" w:color="auto"/>
              <w:bottom w:val="single" w:sz="4" w:space="0" w:color="auto"/>
              <w:right w:val="single" w:sz="4" w:space="0" w:color="auto"/>
            </w:tcBorders>
            <w:noWrap/>
            <w:vAlign w:val="bottom"/>
            <w:hideMark/>
          </w:tcPr>
          <w:p w14:paraId="2683AD6C" w14:textId="6343EEBA" w:rsidR="0014026B" w:rsidRDefault="000B6015">
            <w:pPr>
              <w:spacing w:after="0" w:line="240" w:lineRule="auto"/>
              <w:rPr>
                <w:rFonts w:ascii="Calibri" w:eastAsia="Times New Roman" w:hAnsi="Calibri" w:cs="Calibri"/>
                <w:color w:val="000000"/>
                <w:lang w:val="es-CL" w:eastAsia="es-CL"/>
              </w:rPr>
            </w:pPr>
            <m:oMath>
              <m:r>
                <w:rPr>
                  <w:rFonts w:ascii="Cambria Math" w:eastAsia="Times New Roman" w:hAnsi="Cambria Math" w:cs="Calibri"/>
                  <w:color w:val="000000"/>
                  <w:lang w:val="es-CL" w:eastAsia="es-CL"/>
                </w:rPr>
                <m:t>∆</m:t>
              </m:r>
            </m:oMath>
            <w:r>
              <w:rPr>
                <w:rFonts w:ascii="Calibri" w:eastAsia="Times New Roman" w:hAnsi="Calibri" w:cs="Calibri"/>
                <w:color w:val="000000"/>
                <w:lang w:val="es-CL" w:eastAsia="es-CL"/>
              </w:rPr>
              <w:t xml:space="preserve"> TPM </w:t>
            </w:r>
            <m:oMath>
              <m:sSub>
                <m:sSubPr>
                  <m:ctrlPr>
                    <w:rPr>
                      <w:rFonts w:ascii="Cambria Math" w:eastAsia="Times New Roman" w:hAnsi="Cambria Math" w:cs="Calibri"/>
                      <w:iCs/>
                      <w:color w:val="000000"/>
                    </w:rPr>
                  </m:ctrlPr>
                </m:sSubPr>
                <m:e>
                  <m:r>
                    <m:rPr>
                      <m:sty m:val="p"/>
                    </m:rPr>
                    <w:rPr>
                      <w:rFonts w:ascii="Cambria Math" w:eastAsia="Times New Roman" w:hAnsi="Cambria Math" w:cs="Calibri"/>
                      <w:color w:val="000000"/>
                    </w:rPr>
                    <m:t>L</m:t>
                  </m:r>
                </m:e>
                <m:sub>
                  <m:r>
                    <w:rPr>
                      <w:rFonts w:ascii="Cambria Math" w:eastAsia="Times New Roman" w:hAnsi="Cambria Math" w:cs="Calibri"/>
                      <w:color w:val="000000"/>
                    </w:rPr>
                    <m:t>2</m:t>
                  </m:r>
                </m:sub>
              </m:sSub>
            </m:oMath>
          </w:p>
        </w:tc>
        <w:tc>
          <w:tcPr>
            <w:tcW w:w="1285" w:type="dxa"/>
            <w:tcBorders>
              <w:top w:val="nil"/>
              <w:left w:val="nil"/>
              <w:bottom w:val="single" w:sz="4" w:space="0" w:color="auto"/>
              <w:right w:val="single" w:sz="4" w:space="0" w:color="auto"/>
            </w:tcBorders>
            <w:noWrap/>
            <w:vAlign w:val="bottom"/>
            <w:hideMark/>
          </w:tcPr>
          <w:p w14:paraId="24A0CAFF"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-0.0004</w:t>
            </w:r>
          </w:p>
        </w:tc>
        <w:tc>
          <w:tcPr>
            <w:tcW w:w="1285" w:type="dxa"/>
            <w:tcBorders>
              <w:top w:val="nil"/>
              <w:left w:val="nil"/>
              <w:bottom w:val="single" w:sz="4" w:space="0" w:color="auto"/>
              <w:right w:val="single" w:sz="4" w:space="0" w:color="auto"/>
            </w:tcBorders>
            <w:noWrap/>
            <w:vAlign w:val="bottom"/>
            <w:hideMark/>
          </w:tcPr>
          <w:p w14:paraId="47986C68"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0.0026</w:t>
            </w:r>
          </w:p>
        </w:tc>
        <w:tc>
          <w:tcPr>
            <w:tcW w:w="1285" w:type="dxa"/>
            <w:tcBorders>
              <w:top w:val="nil"/>
              <w:left w:val="nil"/>
              <w:bottom w:val="single" w:sz="4" w:space="0" w:color="auto"/>
              <w:right w:val="single" w:sz="4" w:space="0" w:color="auto"/>
            </w:tcBorders>
            <w:noWrap/>
            <w:vAlign w:val="bottom"/>
            <w:hideMark/>
          </w:tcPr>
          <w:p w14:paraId="3D83AE78"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-0.15</w:t>
            </w:r>
          </w:p>
        </w:tc>
        <w:tc>
          <w:tcPr>
            <w:tcW w:w="1285" w:type="dxa"/>
            <w:tcBorders>
              <w:top w:val="nil"/>
              <w:left w:val="nil"/>
              <w:bottom w:val="single" w:sz="4" w:space="0" w:color="auto"/>
              <w:right w:val="single" w:sz="4" w:space="0" w:color="auto"/>
            </w:tcBorders>
            <w:noWrap/>
            <w:vAlign w:val="bottom"/>
            <w:hideMark/>
          </w:tcPr>
          <w:p w14:paraId="7FC8FF84"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0.883</w:t>
            </w:r>
          </w:p>
        </w:tc>
        <w:tc>
          <w:tcPr>
            <w:tcW w:w="1348" w:type="dxa"/>
            <w:tcBorders>
              <w:top w:val="nil"/>
              <w:left w:val="nil"/>
              <w:bottom w:val="single" w:sz="4" w:space="0" w:color="auto"/>
              <w:right w:val="single" w:sz="4" w:space="0" w:color="auto"/>
            </w:tcBorders>
            <w:noWrap/>
            <w:vAlign w:val="bottom"/>
            <w:hideMark/>
          </w:tcPr>
          <w:p w14:paraId="5CFF678F"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-0.0055</w:t>
            </w:r>
          </w:p>
        </w:tc>
        <w:tc>
          <w:tcPr>
            <w:tcW w:w="1221" w:type="dxa"/>
            <w:tcBorders>
              <w:top w:val="nil"/>
              <w:left w:val="nil"/>
              <w:bottom w:val="single" w:sz="4" w:space="0" w:color="auto"/>
              <w:right w:val="single" w:sz="4" w:space="0" w:color="auto"/>
            </w:tcBorders>
            <w:noWrap/>
            <w:vAlign w:val="bottom"/>
            <w:hideMark/>
          </w:tcPr>
          <w:p w14:paraId="4D34B57C"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0.0048</w:t>
            </w:r>
          </w:p>
        </w:tc>
      </w:tr>
      <w:tr w:rsidR="0014026B" w14:paraId="62BFCCAB" w14:textId="77777777" w:rsidTr="0014026B">
        <w:trPr>
          <w:trHeight w:val="290"/>
        </w:trPr>
        <w:tc>
          <w:tcPr>
            <w:tcW w:w="1371" w:type="dxa"/>
            <w:tcBorders>
              <w:top w:val="nil"/>
              <w:left w:val="single" w:sz="4" w:space="0" w:color="auto"/>
              <w:bottom w:val="single" w:sz="4" w:space="0" w:color="auto"/>
              <w:right w:val="single" w:sz="4" w:space="0" w:color="auto"/>
            </w:tcBorders>
            <w:noWrap/>
            <w:vAlign w:val="bottom"/>
            <w:hideMark/>
          </w:tcPr>
          <w:p w14:paraId="34D0F38A" w14:textId="310A170C" w:rsidR="0014026B" w:rsidRDefault="000B6015">
            <w:pPr>
              <w:spacing w:after="0" w:line="240" w:lineRule="auto"/>
              <w:rPr>
                <w:rFonts w:ascii="Calibri" w:eastAsia="Times New Roman" w:hAnsi="Calibri" w:cs="Calibri"/>
                <w:color w:val="000000"/>
                <w:lang w:val="es-CL" w:eastAsia="es-CL"/>
              </w:rPr>
            </w:pPr>
            <m:oMath>
              <m:r>
                <w:rPr>
                  <w:rFonts w:ascii="Cambria Math" w:eastAsia="Times New Roman" w:hAnsi="Cambria Math" w:cs="Calibri"/>
                  <w:color w:val="000000"/>
                  <w:lang w:val="es-CL" w:eastAsia="es-CL"/>
                </w:rPr>
                <m:t>∆</m:t>
              </m:r>
            </m:oMath>
            <w:r>
              <w:rPr>
                <w:rFonts w:ascii="Calibri" w:eastAsia="Times New Roman" w:hAnsi="Calibri" w:cs="Calibri"/>
                <w:color w:val="000000"/>
                <w:lang w:val="es-CL" w:eastAsia="es-CL"/>
              </w:rPr>
              <w:t xml:space="preserve"> TPM </w:t>
            </w:r>
            <m:oMath>
              <m:sSub>
                <m:sSubPr>
                  <m:ctrlPr>
                    <w:rPr>
                      <w:rFonts w:ascii="Cambria Math" w:eastAsia="Times New Roman" w:hAnsi="Cambria Math" w:cs="Calibri"/>
                      <w:iCs/>
                      <w:color w:val="000000"/>
                    </w:rPr>
                  </m:ctrlPr>
                </m:sSubPr>
                <m:e>
                  <m:r>
                    <m:rPr>
                      <m:sty m:val="p"/>
                    </m:rPr>
                    <w:rPr>
                      <w:rFonts w:ascii="Cambria Math" w:eastAsia="Times New Roman" w:hAnsi="Cambria Math" w:cs="Calibri"/>
                      <w:color w:val="000000"/>
                    </w:rPr>
                    <m:t>L</m:t>
                  </m:r>
                </m:e>
                <m:sub>
                  <m:r>
                    <w:rPr>
                      <w:rFonts w:ascii="Cambria Math" w:eastAsia="Times New Roman" w:hAnsi="Cambria Math" w:cs="Calibri"/>
                      <w:color w:val="000000"/>
                    </w:rPr>
                    <m:t>3</m:t>
                  </m:r>
                </m:sub>
              </m:sSub>
            </m:oMath>
          </w:p>
        </w:tc>
        <w:tc>
          <w:tcPr>
            <w:tcW w:w="1285" w:type="dxa"/>
            <w:tcBorders>
              <w:top w:val="nil"/>
              <w:left w:val="nil"/>
              <w:bottom w:val="single" w:sz="4" w:space="0" w:color="auto"/>
              <w:right w:val="single" w:sz="4" w:space="0" w:color="auto"/>
            </w:tcBorders>
            <w:noWrap/>
            <w:vAlign w:val="bottom"/>
            <w:hideMark/>
          </w:tcPr>
          <w:p w14:paraId="4F1BD0EB"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0.0019</w:t>
            </w:r>
          </w:p>
        </w:tc>
        <w:tc>
          <w:tcPr>
            <w:tcW w:w="1285" w:type="dxa"/>
            <w:tcBorders>
              <w:top w:val="nil"/>
              <w:left w:val="nil"/>
              <w:bottom w:val="single" w:sz="4" w:space="0" w:color="auto"/>
              <w:right w:val="single" w:sz="4" w:space="0" w:color="auto"/>
            </w:tcBorders>
            <w:noWrap/>
            <w:vAlign w:val="bottom"/>
            <w:hideMark/>
          </w:tcPr>
          <w:p w14:paraId="792AB4C3"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0.0017</w:t>
            </w:r>
          </w:p>
        </w:tc>
        <w:tc>
          <w:tcPr>
            <w:tcW w:w="1285" w:type="dxa"/>
            <w:tcBorders>
              <w:top w:val="nil"/>
              <w:left w:val="nil"/>
              <w:bottom w:val="single" w:sz="4" w:space="0" w:color="auto"/>
              <w:right w:val="single" w:sz="4" w:space="0" w:color="auto"/>
            </w:tcBorders>
            <w:noWrap/>
            <w:vAlign w:val="bottom"/>
            <w:hideMark/>
          </w:tcPr>
          <w:p w14:paraId="7665A488"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1.12</w:t>
            </w:r>
          </w:p>
        </w:tc>
        <w:tc>
          <w:tcPr>
            <w:tcW w:w="1285" w:type="dxa"/>
            <w:tcBorders>
              <w:top w:val="nil"/>
              <w:left w:val="nil"/>
              <w:bottom w:val="single" w:sz="4" w:space="0" w:color="auto"/>
              <w:right w:val="single" w:sz="4" w:space="0" w:color="auto"/>
            </w:tcBorders>
            <w:noWrap/>
            <w:vAlign w:val="bottom"/>
            <w:hideMark/>
          </w:tcPr>
          <w:p w14:paraId="3465F3D0"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0.263</w:t>
            </w:r>
          </w:p>
        </w:tc>
        <w:tc>
          <w:tcPr>
            <w:tcW w:w="1348" w:type="dxa"/>
            <w:tcBorders>
              <w:top w:val="nil"/>
              <w:left w:val="nil"/>
              <w:bottom w:val="single" w:sz="4" w:space="0" w:color="auto"/>
              <w:right w:val="single" w:sz="4" w:space="0" w:color="auto"/>
            </w:tcBorders>
            <w:noWrap/>
            <w:vAlign w:val="bottom"/>
            <w:hideMark/>
          </w:tcPr>
          <w:p w14:paraId="46473686"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-0.0014</w:t>
            </w:r>
          </w:p>
        </w:tc>
        <w:tc>
          <w:tcPr>
            <w:tcW w:w="1221" w:type="dxa"/>
            <w:tcBorders>
              <w:top w:val="nil"/>
              <w:left w:val="nil"/>
              <w:bottom w:val="single" w:sz="4" w:space="0" w:color="auto"/>
              <w:right w:val="single" w:sz="4" w:space="0" w:color="auto"/>
            </w:tcBorders>
            <w:noWrap/>
            <w:vAlign w:val="bottom"/>
            <w:hideMark/>
          </w:tcPr>
          <w:p w14:paraId="350382DB"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0.0053</w:t>
            </w:r>
          </w:p>
        </w:tc>
      </w:tr>
      <w:tr w:rsidR="0014026B" w14:paraId="6D642331" w14:textId="77777777" w:rsidTr="0014026B">
        <w:trPr>
          <w:trHeight w:val="290"/>
        </w:trPr>
        <w:tc>
          <w:tcPr>
            <w:tcW w:w="1371" w:type="dxa"/>
            <w:tcBorders>
              <w:top w:val="nil"/>
              <w:left w:val="single" w:sz="4" w:space="0" w:color="auto"/>
              <w:bottom w:val="single" w:sz="4" w:space="0" w:color="auto"/>
              <w:right w:val="single" w:sz="4" w:space="0" w:color="auto"/>
            </w:tcBorders>
            <w:noWrap/>
            <w:vAlign w:val="bottom"/>
            <w:hideMark/>
          </w:tcPr>
          <w:p w14:paraId="731BB667" w14:textId="77777777" w:rsidR="0014026B" w:rsidRDefault="0062217F">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γ</m:t>
                    </m:r>
                  </m:e>
                  <m:sub>
                    <m:r>
                      <w:rPr>
                        <w:rFonts w:ascii="Cambria Math" w:eastAsiaTheme="minorEastAsia" w:hAnsi="Cambria Math"/>
                        <w:sz w:val="24"/>
                        <w:szCs w:val="24"/>
                        <w:lang w:val="es-CL"/>
                      </w:rPr>
                      <m:t>0</m:t>
                    </m:r>
                  </m:sub>
                </m:sSub>
              </m:oMath>
            </m:oMathPara>
          </w:p>
        </w:tc>
        <w:tc>
          <w:tcPr>
            <w:tcW w:w="1285" w:type="dxa"/>
            <w:tcBorders>
              <w:top w:val="nil"/>
              <w:left w:val="nil"/>
              <w:bottom w:val="single" w:sz="4" w:space="0" w:color="auto"/>
              <w:right w:val="single" w:sz="4" w:space="0" w:color="auto"/>
            </w:tcBorders>
            <w:noWrap/>
            <w:vAlign w:val="bottom"/>
            <w:hideMark/>
          </w:tcPr>
          <w:p w14:paraId="0931780B"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0.0005</w:t>
            </w:r>
          </w:p>
        </w:tc>
        <w:tc>
          <w:tcPr>
            <w:tcW w:w="1285" w:type="dxa"/>
            <w:tcBorders>
              <w:top w:val="nil"/>
              <w:left w:val="nil"/>
              <w:bottom w:val="single" w:sz="4" w:space="0" w:color="auto"/>
              <w:right w:val="single" w:sz="4" w:space="0" w:color="auto"/>
            </w:tcBorders>
            <w:noWrap/>
            <w:vAlign w:val="bottom"/>
            <w:hideMark/>
          </w:tcPr>
          <w:p w14:paraId="49D703C1"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0.0003</w:t>
            </w:r>
          </w:p>
        </w:tc>
        <w:tc>
          <w:tcPr>
            <w:tcW w:w="1285" w:type="dxa"/>
            <w:tcBorders>
              <w:top w:val="nil"/>
              <w:left w:val="nil"/>
              <w:bottom w:val="single" w:sz="4" w:space="0" w:color="auto"/>
              <w:right w:val="single" w:sz="4" w:space="0" w:color="auto"/>
            </w:tcBorders>
            <w:noWrap/>
            <w:vAlign w:val="bottom"/>
            <w:hideMark/>
          </w:tcPr>
          <w:p w14:paraId="58B7E112"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1.68</w:t>
            </w:r>
          </w:p>
        </w:tc>
        <w:tc>
          <w:tcPr>
            <w:tcW w:w="1285" w:type="dxa"/>
            <w:tcBorders>
              <w:top w:val="nil"/>
              <w:left w:val="nil"/>
              <w:bottom w:val="single" w:sz="4" w:space="0" w:color="auto"/>
              <w:right w:val="single" w:sz="4" w:space="0" w:color="auto"/>
            </w:tcBorders>
            <w:noWrap/>
            <w:vAlign w:val="bottom"/>
            <w:hideMark/>
          </w:tcPr>
          <w:p w14:paraId="21426734"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0.093</w:t>
            </w:r>
          </w:p>
        </w:tc>
        <w:tc>
          <w:tcPr>
            <w:tcW w:w="1348" w:type="dxa"/>
            <w:tcBorders>
              <w:top w:val="nil"/>
              <w:left w:val="nil"/>
              <w:bottom w:val="single" w:sz="4" w:space="0" w:color="auto"/>
              <w:right w:val="single" w:sz="4" w:space="0" w:color="auto"/>
            </w:tcBorders>
            <w:noWrap/>
            <w:vAlign w:val="bottom"/>
            <w:hideMark/>
          </w:tcPr>
          <w:p w14:paraId="0B7DEC71"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-0.0001</w:t>
            </w:r>
          </w:p>
        </w:tc>
        <w:tc>
          <w:tcPr>
            <w:tcW w:w="1221" w:type="dxa"/>
            <w:tcBorders>
              <w:top w:val="nil"/>
              <w:left w:val="nil"/>
              <w:bottom w:val="single" w:sz="4" w:space="0" w:color="auto"/>
              <w:right w:val="single" w:sz="4" w:space="0" w:color="auto"/>
            </w:tcBorders>
            <w:noWrap/>
            <w:vAlign w:val="bottom"/>
            <w:hideMark/>
          </w:tcPr>
          <w:p w14:paraId="78E46784"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0.0011</w:t>
            </w:r>
          </w:p>
        </w:tc>
      </w:tr>
    </w:tbl>
    <w:p w14:paraId="35A712E6" w14:textId="62690582" w:rsidR="0014026B" w:rsidRDefault="0014026B" w:rsidP="0014026B">
      <w:pPr>
        <w:jc w:val="both"/>
        <w:rPr>
          <w:sz w:val="24"/>
          <w:szCs w:val="24"/>
          <w:lang w:val="es-CL"/>
        </w:rPr>
      </w:pPr>
    </w:p>
    <w:p w14:paraId="187D698A" w14:textId="31140AF9" w:rsidR="00B530D8" w:rsidRDefault="00B530D8" w:rsidP="0014026B">
      <w:pPr>
        <w:jc w:val="both"/>
        <w:rPr>
          <w:sz w:val="24"/>
          <w:szCs w:val="24"/>
          <w:lang w:val="es-CL"/>
        </w:rPr>
      </w:pPr>
    </w:p>
    <w:p w14:paraId="68F5C387" w14:textId="375B006A" w:rsidR="00E3292E" w:rsidRDefault="00E3292E" w:rsidP="0014026B">
      <w:pPr>
        <w:jc w:val="both"/>
        <w:rPr>
          <w:sz w:val="24"/>
          <w:szCs w:val="24"/>
          <w:lang w:val="es-CL"/>
        </w:rPr>
      </w:pPr>
    </w:p>
    <w:p w14:paraId="392BAB57" w14:textId="5B58F15C" w:rsidR="00E3292E" w:rsidRDefault="00E3292E" w:rsidP="0014026B">
      <w:pPr>
        <w:jc w:val="both"/>
        <w:rPr>
          <w:sz w:val="24"/>
          <w:szCs w:val="24"/>
          <w:lang w:val="es-CL"/>
        </w:rPr>
      </w:pPr>
    </w:p>
    <w:p w14:paraId="7E303E92" w14:textId="1BDD5350" w:rsidR="00E3292E" w:rsidRDefault="00E3292E" w:rsidP="0014026B">
      <w:pPr>
        <w:jc w:val="both"/>
        <w:rPr>
          <w:sz w:val="24"/>
          <w:szCs w:val="24"/>
          <w:lang w:val="es-CL"/>
        </w:rPr>
      </w:pPr>
    </w:p>
    <w:p w14:paraId="14D1E9AD" w14:textId="53FE3B82" w:rsidR="00E3292E" w:rsidRDefault="00E3292E" w:rsidP="0014026B">
      <w:pPr>
        <w:jc w:val="both"/>
        <w:rPr>
          <w:sz w:val="24"/>
          <w:szCs w:val="24"/>
          <w:lang w:val="es-CL"/>
        </w:rPr>
      </w:pPr>
    </w:p>
    <w:p w14:paraId="5B3DC3C4" w14:textId="6B8C125D" w:rsidR="00E3292E" w:rsidRDefault="00E3292E" w:rsidP="0014026B">
      <w:pPr>
        <w:jc w:val="both"/>
        <w:rPr>
          <w:sz w:val="24"/>
          <w:szCs w:val="24"/>
          <w:lang w:val="es-CL"/>
        </w:rPr>
      </w:pPr>
    </w:p>
    <w:p w14:paraId="77A963A8" w14:textId="38611732" w:rsidR="00E3292E" w:rsidRDefault="00E3292E" w:rsidP="0014026B">
      <w:pPr>
        <w:jc w:val="both"/>
        <w:rPr>
          <w:sz w:val="24"/>
          <w:szCs w:val="24"/>
          <w:lang w:val="es-CL"/>
        </w:rPr>
      </w:pPr>
    </w:p>
    <w:p w14:paraId="7FC3BA0B" w14:textId="12C532E2" w:rsidR="00E3292E" w:rsidRDefault="00E3292E" w:rsidP="0014026B">
      <w:pPr>
        <w:jc w:val="both"/>
        <w:rPr>
          <w:sz w:val="24"/>
          <w:szCs w:val="24"/>
          <w:lang w:val="es-CL"/>
        </w:rPr>
      </w:pPr>
    </w:p>
    <w:p w14:paraId="323DB762" w14:textId="04B0F5AF" w:rsidR="00E3292E" w:rsidRDefault="00E3292E" w:rsidP="0014026B">
      <w:pPr>
        <w:jc w:val="both"/>
        <w:rPr>
          <w:sz w:val="24"/>
          <w:szCs w:val="24"/>
          <w:lang w:val="es-CL"/>
        </w:rPr>
      </w:pPr>
    </w:p>
    <w:p w14:paraId="13CDEE34" w14:textId="5E37FA22" w:rsidR="00E3292E" w:rsidRDefault="00E3292E" w:rsidP="0014026B">
      <w:pPr>
        <w:jc w:val="both"/>
        <w:rPr>
          <w:sz w:val="24"/>
          <w:szCs w:val="24"/>
          <w:lang w:val="es-CL"/>
        </w:rPr>
      </w:pPr>
    </w:p>
    <w:p w14:paraId="2483E1DD" w14:textId="77777777" w:rsidR="00E3292E" w:rsidRDefault="00E3292E" w:rsidP="0014026B">
      <w:pPr>
        <w:jc w:val="both"/>
        <w:rPr>
          <w:sz w:val="24"/>
          <w:szCs w:val="24"/>
          <w:lang w:val="es-CL"/>
        </w:rPr>
      </w:pPr>
    </w:p>
    <w:p w14:paraId="658CE462" w14:textId="71C5F01C" w:rsidR="0014026B" w:rsidRPr="003B6C66" w:rsidRDefault="0014026B" w:rsidP="0014026B">
      <w:pPr>
        <w:jc w:val="both"/>
        <w:rPr>
          <w:rFonts w:eastAsiaTheme="minorEastAsia"/>
          <w:sz w:val="24"/>
          <w:szCs w:val="24"/>
        </w:rPr>
      </w:pPr>
      <w:r w:rsidRPr="003B6C66">
        <w:rPr>
          <w:rFonts w:eastAsiaTheme="minorEastAsia"/>
          <w:b/>
          <w:bCs/>
          <w:sz w:val="24"/>
          <w:szCs w:val="24"/>
        </w:rPr>
        <w:lastRenderedPageBreak/>
        <w:t>Tabla A</w:t>
      </w:r>
      <w:r w:rsidR="00195810" w:rsidRPr="003B6C66">
        <w:rPr>
          <w:rFonts w:eastAsiaTheme="minorEastAsia"/>
          <w:b/>
          <w:bCs/>
          <w:sz w:val="24"/>
          <w:szCs w:val="24"/>
        </w:rPr>
        <w:t>6</w:t>
      </w:r>
      <w:r w:rsidRPr="003B6C66">
        <w:rPr>
          <w:rFonts w:eastAsiaTheme="minorEastAsia"/>
          <w:b/>
          <w:bCs/>
          <w:sz w:val="24"/>
          <w:szCs w:val="24"/>
        </w:rPr>
        <w:t xml:space="preserve">. </w:t>
      </w:r>
      <w:r w:rsidR="00094519" w:rsidRPr="003B6C66">
        <w:rPr>
          <w:rFonts w:eastAsiaTheme="minorEastAsia"/>
          <w:b/>
          <w:bCs/>
          <w:sz w:val="24"/>
          <w:szCs w:val="24"/>
        </w:rPr>
        <w:t>First stage of the estimation by TSLS adding the variation of the TPM</w:t>
      </w:r>
    </w:p>
    <w:tbl>
      <w:tblPr>
        <w:tblStyle w:val="Tablanormal1"/>
        <w:tblW w:w="4854" w:type="dxa"/>
        <w:tblLook w:val="04A0" w:firstRow="1" w:lastRow="0" w:firstColumn="1" w:lastColumn="0" w:noHBand="0" w:noVBand="1"/>
      </w:tblPr>
      <w:tblGrid>
        <w:gridCol w:w="3245"/>
        <w:gridCol w:w="1609"/>
      </w:tblGrid>
      <w:tr w:rsidR="0014026B" w14:paraId="671E036F" w14:textId="77777777" w:rsidTr="0014026B">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noWrap/>
            <w:hideMark/>
          </w:tcPr>
          <w:p w14:paraId="69C3030D" w14:textId="282EC9FE" w:rsidR="0014026B" w:rsidRDefault="0014026B">
            <w:pPr>
              <w:rPr>
                <w:rFonts w:ascii="Calibri" w:eastAsia="Times New Roman" w:hAnsi="Calibri" w:cs="Calibri"/>
                <w:color w:val="000000"/>
              </w:rPr>
            </w:pPr>
            <w:r>
              <w:rPr>
                <w:rFonts w:ascii="Calibri" w:eastAsia="Times New Roman" w:hAnsi="Calibri" w:cs="Calibri"/>
                <w:color w:val="000000"/>
              </w:rPr>
              <w:t>N</w:t>
            </w:r>
            <w:r w:rsidR="000046AD">
              <w:rPr>
                <w:rFonts w:ascii="Calibri" w:eastAsia="Times New Roman" w:hAnsi="Calibri" w:cs="Calibri"/>
                <w:color w:val="000000"/>
              </w:rPr>
              <w:t>umber</w:t>
            </w:r>
            <w:r>
              <w:rPr>
                <w:rFonts w:ascii="Calibri" w:eastAsia="Times New Roman" w:hAnsi="Calibri" w:cs="Calibri"/>
                <w:color w:val="000000"/>
              </w:rPr>
              <w:t xml:space="preserve"> </w:t>
            </w:r>
            <w:r w:rsidR="000046AD">
              <w:rPr>
                <w:rFonts w:ascii="Calibri" w:eastAsia="Times New Roman" w:hAnsi="Calibri" w:cs="Calibri"/>
                <w:color w:val="000000"/>
              </w:rPr>
              <w:t>of</w:t>
            </w:r>
            <w:r>
              <w:rPr>
                <w:rFonts w:ascii="Calibri" w:eastAsia="Times New Roman" w:hAnsi="Calibri" w:cs="Calibri"/>
                <w:color w:val="000000"/>
              </w:rPr>
              <w:t xml:space="preserve"> observa</w:t>
            </w:r>
            <w:r w:rsidR="000046AD">
              <w:rPr>
                <w:rFonts w:ascii="Calibri" w:eastAsia="Times New Roman" w:hAnsi="Calibri" w:cs="Calibri"/>
                <w:color w:val="000000"/>
              </w:rPr>
              <w:t>tions</w:t>
            </w:r>
          </w:p>
        </w:tc>
        <w:tc>
          <w:tcPr>
            <w:tcW w:w="16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noWrap/>
            <w:hideMark/>
          </w:tcPr>
          <w:p w14:paraId="795904E7" w14:textId="77777777" w:rsidR="0014026B" w:rsidRDefault="0014026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b w:val="0"/>
                <w:bCs w:val="0"/>
                <w:color w:val="000000"/>
              </w:rPr>
              <w:t>261</w:t>
            </w:r>
          </w:p>
        </w:tc>
      </w:tr>
      <w:tr w:rsidR="0014026B" w14:paraId="2351D05B" w14:textId="77777777" w:rsidTr="0014026B">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noWrap/>
            <w:hideMark/>
          </w:tcPr>
          <w:p w14:paraId="05769A5C" w14:textId="77777777" w:rsidR="0014026B" w:rsidRDefault="0014026B">
            <w:pPr>
              <w:rPr>
                <w:rFonts w:ascii="Calibri" w:eastAsia="Times New Roman" w:hAnsi="Calibri" w:cs="Calibri"/>
                <w:color w:val="000000"/>
              </w:rPr>
            </w:pPr>
            <w:r>
              <w:rPr>
                <w:rFonts w:ascii="Calibri" w:eastAsia="Times New Roman" w:hAnsi="Calibri" w:cs="Calibri"/>
                <w:color w:val="000000"/>
              </w:rPr>
              <w:t>F(16, 244)</w:t>
            </w:r>
          </w:p>
        </w:tc>
        <w:tc>
          <w:tcPr>
            <w:tcW w:w="16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noWrap/>
            <w:hideMark/>
          </w:tcPr>
          <w:p w14:paraId="320C7784" w14:textId="77777777" w:rsidR="0014026B" w:rsidRDefault="0014026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4.92</w:t>
            </w:r>
          </w:p>
        </w:tc>
      </w:tr>
      <w:tr w:rsidR="0014026B" w14:paraId="571A21E8" w14:textId="77777777" w:rsidTr="0014026B">
        <w:trPr>
          <w:trHeight w:val="327"/>
        </w:trPr>
        <w:tc>
          <w:tcPr>
            <w:cnfStyle w:val="001000000000" w:firstRow="0" w:lastRow="0" w:firstColumn="1" w:lastColumn="0" w:oddVBand="0" w:evenVBand="0" w:oddHBand="0" w:evenHBand="0" w:firstRowFirstColumn="0" w:firstRowLastColumn="0" w:lastRowFirstColumn="0" w:lastRowLastColumn="0"/>
            <w:tcW w:w="3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noWrap/>
            <w:hideMark/>
          </w:tcPr>
          <w:p w14:paraId="14B2FEE4" w14:textId="77777777" w:rsidR="0014026B" w:rsidRDefault="0014026B">
            <w:pPr>
              <w:rPr>
                <w:rFonts w:ascii="Calibri" w:eastAsia="Times New Roman" w:hAnsi="Calibri" w:cs="Calibri"/>
                <w:color w:val="000000"/>
              </w:rPr>
            </w:pPr>
            <w:r>
              <w:rPr>
                <w:rFonts w:ascii="Calibri" w:eastAsia="Times New Roman" w:hAnsi="Calibri" w:cs="Calibri"/>
                <w:color w:val="000000"/>
              </w:rPr>
              <w:t>Prob &gt; F</w:t>
            </w:r>
          </w:p>
        </w:tc>
        <w:tc>
          <w:tcPr>
            <w:tcW w:w="16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noWrap/>
            <w:hideMark/>
          </w:tcPr>
          <w:p w14:paraId="31E91D69" w14:textId="77777777" w:rsidR="0014026B" w:rsidRDefault="0014026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0.0000</w:t>
            </w:r>
          </w:p>
        </w:tc>
      </w:tr>
      <w:tr w:rsidR="0014026B" w14:paraId="4C38EE6E" w14:textId="77777777" w:rsidTr="0014026B">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noWrap/>
            <w:hideMark/>
          </w:tcPr>
          <w:p w14:paraId="2093962D" w14:textId="1FD43226" w:rsidR="0014026B" w:rsidRDefault="0014026B">
            <w:pPr>
              <w:rPr>
                <w:rFonts w:ascii="Calibri" w:eastAsia="Times New Roman" w:hAnsi="Calibri" w:cs="Calibri"/>
                <w:color w:val="000000"/>
              </w:rPr>
            </w:pPr>
            <w:r>
              <w:rPr>
                <w:rFonts w:ascii="Calibri" w:eastAsia="Times New Roman" w:hAnsi="Calibri" w:cs="Calibri"/>
                <w:color w:val="000000"/>
              </w:rPr>
              <w:t>R-</w:t>
            </w:r>
            <w:r w:rsidR="000046AD">
              <w:rPr>
                <w:rFonts w:ascii="Calibri" w:eastAsia="Times New Roman" w:hAnsi="Calibri" w:cs="Calibri"/>
                <w:color w:val="000000"/>
              </w:rPr>
              <w:t>squared</w:t>
            </w:r>
          </w:p>
        </w:tc>
        <w:tc>
          <w:tcPr>
            <w:tcW w:w="16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noWrap/>
            <w:hideMark/>
          </w:tcPr>
          <w:p w14:paraId="58F50E78" w14:textId="77777777" w:rsidR="0014026B" w:rsidRDefault="0014026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0.1605</w:t>
            </w:r>
          </w:p>
        </w:tc>
      </w:tr>
      <w:tr w:rsidR="0014026B" w14:paraId="0FA214E2" w14:textId="77777777" w:rsidTr="0014026B">
        <w:trPr>
          <w:trHeight w:val="327"/>
        </w:trPr>
        <w:tc>
          <w:tcPr>
            <w:cnfStyle w:val="001000000000" w:firstRow="0" w:lastRow="0" w:firstColumn="1" w:lastColumn="0" w:oddVBand="0" w:evenVBand="0" w:oddHBand="0" w:evenHBand="0" w:firstRowFirstColumn="0" w:firstRowLastColumn="0" w:lastRowFirstColumn="0" w:lastRowLastColumn="0"/>
            <w:tcW w:w="3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noWrap/>
            <w:hideMark/>
          </w:tcPr>
          <w:p w14:paraId="3F1FCDD3" w14:textId="490711B9" w:rsidR="0014026B" w:rsidRDefault="000046AD">
            <w:pPr>
              <w:rPr>
                <w:rFonts w:ascii="Calibri" w:eastAsia="Times New Roman" w:hAnsi="Calibri" w:cs="Calibri"/>
                <w:color w:val="000000"/>
              </w:rPr>
            </w:pPr>
            <w:r>
              <w:rPr>
                <w:rFonts w:ascii="Calibri" w:eastAsia="Times New Roman" w:hAnsi="Calibri" w:cs="Calibri"/>
                <w:color w:val="000000"/>
              </w:rPr>
              <w:t xml:space="preserve">Adjusted </w:t>
            </w:r>
            <w:r w:rsidR="0014026B">
              <w:rPr>
                <w:rFonts w:ascii="Calibri" w:eastAsia="Times New Roman" w:hAnsi="Calibri" w:cs="Calibri"/>
                <w:color w:val="000000"/>
              </w:rPr>
              <w:t>R-</w:t>
            </w:r>
            <w:r>
              <w:rPr>
                <w:rFonts w:ascii="Calibri" w:eastAsia="Times New Roman" w:hAnsi="Calibri" w:cs="Calibri"/>
                <w:color w:val="000000"/>
              </w:rPr>
              <w:t>squared</w:t>
            </w:r>
          </w:p>
        </w:tc>
        <w:tc>
          <w:tcPr>
            <w:tcW w:w="16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noWrap/>
            <w:hideMark/>
          </w:tcPr>
          <w:p w14:paraId="4227E5A7" w14:textId="77777777" w:rsidR="0014026B" w:rsidRDefault="0014026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0.1054</w:t>
            </w:r>
          </w:p>
        </w:tc>
      </w:tr>
    </w:tbl>
    <w:p w14:paraId="2C688981" w14:textId="77777777" w:rsidR="00B530D8" w:rsidRDefault="00B530D8" w:rsidP="0014026B">
      <w:pPr>
        <w:jc w:val="both"/>
        <w:rPr>
          <w:sz w:val="24"/>
          <w:szCs w:val="24"/>
          <w:lang w:val="es-CL"/>
        </w:rPr>
      </w:pPr>
    </w:p>
    <w:tbl>
      <w:tblPr>
        <w:tblW w:w="9025" w:type="dxa"/>
        <w:tblCellMar>
          <w:left w:w="70" w:type="dxa"/>
          <w:right w:w="70" w:type="dxa"/>
        </w:tblCellMar>
        <w:tblLook w:val="04A0" w:firstRow="1" w:lastRow="0" w:firstColumn="1" w:lastColumn="0" w:noHBand="0" w:noVBand="1"/>
      </w:tblPr>
      <w:tblGrid>
        <w:gridCol w:w="1484"/>
        <w:gridCol w:w="1392"/>
        <w:gridCol w:w="1392"/>
        <w:gridCol w:w="844"/>
        <w:gridCol w:w="1053"/>
        <w:gridCol w:w="1506"/>
        <w:gridCol w:w="1354"/>
      </w:tblGrid>
      <w:tr w:rsidR="0014026B" w14:paraId="1E499BD4" w14:textId="77777777" w:rsidTr="0014026B">
        <w:trPr>
          <w:trHeight w:val="270"/>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3F5FE306" w14:textId="1F4C3B16" w:rsidR="0014026B" w:rsidRDefault="0062279D">
            <w:pPr>
              <w:spacing w:after="0" w:line="240" w:lineRule="auto"/>
              <w:jc w:val="center"/>
              <w:rPr>
                <w:rFonts w:ascii="Calibri" w:eastAsia="Times New Roman" w:hAnsi="Calibri" w:cs="Calibri"/>
                <w:b/>
                <w:bCs/>
                <w:color w:val="000000"/>
                <w:lang w:val="es-CL" w:eastAsia="es-CL"/>
              </w:rPr>
            </w:pPr>
            <m:oMathPara>
              <m:oMath>
                <m:r>
                  <m:rPr>
                    <m:sty m:val="bi"/>
                  </m:rPr>
                  <w:rPr>
                    <w:rFonts w:ascii="Cambria Math" w:eastAsia="Times New Roman" w:hAnsi="Cambria Math" w:cs="Calibri"/>
                    <w:color w:val="000000"/>
                    <w:lang w:val="es-CL" w:eastAsia="es-CL"/>
                  </w:rPr>
                  <m:t>∆E</m:t>
                </m:r>
              </m:oMath>
            </m:oMathPara>
          </w:p>
        </w:tc>
        <w:tc>
          <w:tcPr>
            <w:tcW w:w="1392" w:type="dxa"/>
            <w:tcBorders>
              <w:top w:val="single" w:sz="4" w:space="0" w:color="auto"/>
              <w:left w:val="nil"/>
              <w:bottom w:val="single" w:sz="4" w:space="0" w:color="auto"/>
              <w:right w:val="single" w:sz="4" w:space="0" w:color="auto"/>
            </w:tcBorders>
            <w:shd w:val="clear" w:color="auto" w:fill="D9E2F3" w:themeFill="accent1" w:themeFillTint="33"/>
            <w:noWrap/>
            <w:hideMark/>
          </w:tcPr>
          <w:p w14:paraId="5C953C43" w14:textId="500E13AB" w:rsidR="0014026B" w:rsidRDefault="0014026B">
            <w:pPr>
              <w:spacing w:after="0" w:line="240" w:lineRule="auto"/>
              <w:jc w:val="center"/>
              <w:rPr>
                <w:rFonts w:ascii="Calibri" w:eastAsia="Times New Roman" w:hAnsi="Calibri" w:cs="Calibri"/>
                <w:b/>
                <w:bCs/>
                <w:color w:val="000000"/>
                <w:lang w:val="es-CL" w:eastAsia="es-CL"/>
              </w:rPr>
            </w:pPr>
            <w:r>
              <w:rPr>
                <w:rFonts w:ascii="Calibri" w:eastAsia="Times New Roman" w:hAnsi="Calibri" w:cs="Calibri"/>
                <w:b/>
                <w:bCs/>
                <w:color w:val="000000"/>
              </w:rPr>
              <w:t>Coef</w:t>
            </w:r>
            <w:r w:rsidR="0062279D">
              <w:rPr>
                <w:rFonts w:ascii="Calibri" w:eastAsia="Times New Roman" w:hAnsi="Calibri" w:cs="Calibri"/>
                <w:b/>
                <w:bCs/>
                <w:color w:val="000000"/>
              </w:rPr>
              <w:t>f</w:t>
            </w:r>
            <w:r>
              <w:rPr>
                <w:rFonts w:ascii="Calibri" w:eastAsia="Times New Roman" w:hAnsi="Calibri" w:cs="Calibri"/>
                <w:b/>
                <w:bCs/>
                <w:color w:val="000000"/>
              </w:rPr>
              <w:t>icient</w:t>
            </w:r>
          </w:p>
        </w:tc>
        <w:tc>
          <w:tcPr>
            <w:tcW w:w="1392" w:type="dxa"/>
            <w:tcBorders>
              <w:top w:val="single" w:sz="4" w:space="0" w:color="auto"/>
              <w:left w:val="nil"/>
              <w:bottom w:val="single" w:sz="4" w:space="0" w:color="auto"/>
              <w:right w:val="single" w:sz="4" w:space="0" w:color="auto"/>
            </w:tcBorders>
            <w:shd w:val="clear" w:color="auto" w:fill="D9E2F3" w:themeFill="accent1" w:themeFillTint="33"/>
            <w:noWrap/>
            <w:hideMark/>
          </w:tcPr>
          <w:p w14:paraId="6435C36F" w14:textId="36B403D0" w:rsidR="0014026B" w:rsidRDefault="0062279D">
            <w:pPr>
              <w:spacing w:after="0" w:line="240" w:lineRule="auto"/>
              <w:jc w:val="center"/>
              <w:rPr>
                <w:rFonts w:ascii="Calibri" w:eastAsia="Times New Roman" w:hAnsi="Calibri" w:cs="Calibri"/>
                <w:b/>
                <w:bCs/>
                <w:color w:val="000000"/>
                <w:lang w:val="es-CL" w:eastAsia="es-CL"/>
              </w:rPr>
            </w:pPr>
            <w:r w:rsidRPr="008E7809">
              <w:rPr>
                <w:rFonts w:ascii="Calibri" w:eastAsia="Times New Roman" w:hAnsi="Calibri" w:cs="Calibri"/>
                <w:b/>
                <w:bCs/>
                <w:color w:val="000000"/>
              </w:rPr>
              <w:t>Robust</w:t>
            </w:r>
            <w:r>
              <w:rPr>
                <w:rFonts w:ascii="Calibri" w:eastAsia="Times New Roman" w:hAnsi="Calibri" w:cs="Calibri"/>
                <w:b/>
                <w:bCs/>
                <w:color w:val="000000"/>
              </w:rPr>
              <w:t xml:space="preserve"> Std. Err.</w:t>
            </w:r>
          </w:p>
        </w:tc>
        <w:tc>
          <w:tcPr>
            <w:tcW w:w="844" w:type="dxa"/>
            <w:tcBorders>
              <w:top w:val="single" w:sz="4" w:space="0" w:color="auto"/>
              <w:left w:val="nil"/>
              <w:bottom w:val="single" w:sz="4" w:space="0" w:color="auto"/>
              <w:right w:val="single" w:sz="4" w:space="0" w:color="auto"/>
            </w:tcBorders>
            <w:shd w:val="clear" w:color="auto" w:fill="D9E2F3" w:themeFill="accent1" w:themeFillTint="33"/>
            <w:noWrap/>
            <w:hideMark/>
          </w:tcPr>
          <w:p w14:paraId="7D976525" w14:textId="77777777" w:rsidR="0014026B" w:rsidRDefault="0014026B">
            <w:pPr>
              <w:spacing w:after="0" w:line="240" w:lineRule="auto"/>
              <w:jc w:val="center"/>
              <w:rPr>
                <w:rFonts w:ascii="Calibri" w:eastAsia="Times New Roman" w:hAnsi="Calibri" w:cs="Calibri"/>
                <w:b/>
                <w:bCs/>
                <w:color w:val="000000"/>
                <w:lang w:val="es-CL" w:eastAsia="es-CL"/>
              </w:rPr>
            </w:pPr>
            <w:r>
              <w:rPr>
                <w:rFonts w:ascii="Calibri" w:eastAsia="Times New Roman" w:hAnsi="Calibri" w:cs="Calibri"/>
                <w:b/>
                <w:bCs/>
                <w:color w:val="000000"/>
                <w:lang w:val="es-CL" w:eastAsia="es-CL"/>
              </w:rPr>
              <w:t>t</w:t>
            </w:r>
          </w:p>
        </w:tc>
        <w:tc>
          <w:tcPr>
            <w:tcW w:w="1053" w:type="dxa"/>
            <w:tcBorders>
              <w:top w:val="single" w:sz="4" w:space="0" w:color="auto"/>
              <w:left w:val="nil"/>
              <w:bottom w:val="single" w:sz="4" w:space="0" w:color="auto"/>
              <w:right w:val="single" w:sz="4" w:space="0" w:color="auto"/>
            </w:tcBorders>
            <w:shd w:val="clear" w:color="auto" w:fill="D9E2F3" w:themeFill="accent1" w:themeFillTint="33"/>
            <w:noWrap/>
            <w:hideMark/>
          </w:tcPr>
          <w:p w14:paraId="341024E4" w14:textId="77777777" w:rsidR="0014026B" w:rsidRDefault="0014026B">
            <w:pPr>
              <w:spacing w:after="0" w:line="240" w:lineRule="auto"/>
              <w:jc w:val="center"/>
              <w:rPr>
                <w:rFonts w:ascii="Calibri" w:eastAsia="Times New Roman" w:hAnsi="Calibri" w:cs="Calibri"/>
                <w:b/>
                <w:bCs/>
                <w:color w:val="000000"/>
                <w:lang w:val="es-CL" w:eastAsia="es-CL"/>
              </w:rPr>
            </w:pPr>
            <w:r>
              <w:rPr>
                <w:rFonts w:ascii="Calibri" w:eastAsia="Times New Roman" w:hAnsi="Calibri" w:cs="Calibri"/>
                <w:b/>
                <w:bCs/>
                <w:color w:val="000000"/>
              </w:rPr>
              <w:t>p&gt;|t|</w:t>
            </w:r>
          </w:p>
        </w:tc>
        <w:tc>
          <w:tcPr>
            <w:tcW w:w="2860" w:type="dxa"/>
            <w:gridSpan w:val="2"/>
            <w:tcBorders>
              <w:top w:val="single" w:sz="4" w:space="0" w:color="auto"/>
              <w:left w:val="nil"/>
              <w:bottom w:val="single" w:sz="4" w:space="0" w:color="auto"/>
              <w:right w:val="single" w:sz="4" w:space="0" w:color="auto"/>
            </w:tcBorders>
            <w:shd w:val="clear" w:color="auto" w:fill="D9E2F3" w:themeFill="accent1" w:themeFillTint="33"/>
            <w:noWrap/>
            <w:hideMark/>
          </w:tcPr>
          <w:p w14:paraId="6A6420C2" w14:textId="54A1804B" w:rsidR="0014026B" w:rsidRDefault="0062279D">
            <w:pPr>
              <w:spacing w:after="0" w:line="240" w:lineRule="auto"/>
              <w:jc w:val="center"/>
              <w:rPr>
                <w:rFonts w:ascii="Calibri" w:eastAsia="Times New Roman" w:hAnsi="Calibri" w:cs="Calibri"/>
                <w:b/>
                <w:bCs/>
                <w:color w:val="000000"/>
                <w:lang w:val="es-CL" w:eastAsia="es-CL"/>
              </w:rPr>
            </w:pPr>
            <w:r>
              <w:rPr>
                <w:rFonts w:ascii="Calibri" w:eastAsia="Times New Roman" w:hAnsi="Calibri" w:cs="Calibri"/>
                <w:b/>
                <w:bCs/>
                <w:color w:val="000000"/>
              </w:rPr>
              <w:t>Confidence Interval</w:t>
            </w:r>
            <w:r w:rsidR="0014026B">
              <w:rPr>
                <w:rFonts w:ascii="Calibri" w:eastAsia="Times New Roman" w:hAnsi="Calibri" w:cs="Calibri"/>
                <w:b/>
                <w:bCs/>
                <w:color w:val="000000"/>
              </w:rPr>
              <w:t xml:space="preserve"> (95%)</w:t>
            </w:r>
          </w:p>
        </w:tc>
      </w:tr>
      <w:tr w:rsidR="0014026B" w14:paraId="722E39CC" w14:textId="77777777" w:rsidTr="0014026B">
        <w:trPr>
          <w:trHeight w:val="270"/>
        </w:trPr>
        <w:tc>
          <w:tcPr>
            <w:tcW w:w="1484" w:type="dxa"/>
            <w:tcBorders>
              <w:top w:val="nil"/>
              <w:left w:val="single" w:sz="4" w:space="0" w:color="auto"/>
              <w:bottom w:val="single" w:sz="4" w:space="0" w:color="auto"/>
              <w:right w:val="single" w:sz="4" w:space="0" w:color="auto"/>
            </w:tcBorders>
            <w:noWrap/>
            <w:vAlign w:val="bottom"/>
            <w:hideMark/>
          </w:tcPr>
          <w:p w14:paraId="08EBD655" w14:textId="72AB391D" w:rsidR="0014026B" w:rsidRDefault="0014026B">
            <w:pPr>
              <w:spacing w:after="0" w:line="240" w:lineRule="auto"/>
              <w:rPr>
                <w:rFonts w:ascii="Calibri" w:eastAsia="Times New Roman" w:hAnsi="Calibri" w:cs="Calibri"/>
                <w:color w:val="000000"/>
                <w:lang w:val="es-CL" w:eastAsia="es-CL"/>
              </w:rPr>
            </w:pPr>
            <w:r>
              <w:rPr>
                <w:rFonts w:ascii="Calibri" w:eastAsia="Times New Roman" w:hAnsi="Calibri" w:cs="Calibri"/>
                <w:color w:val="000000"/>
                <w:lang w:val="es-CL" w:eastAsia="es-CL"/>
              </w:rPr>
              <w:t>US</w:t>
            </w:r>
            <w:r w:rsidR="0062279D">
              <w:rPr>
                <w:rFonts w:ascii="Calibri" w:eastAsia="Times New Roman" w:hAnsi="Calibri" w:cs="Calibri"/>
                <w:color w:val="000000"/>
                <w:lang w:val="es-CL" w:eastAsia="es-CL"/>
              </w:rPr>
              <w:t xml:space="preserve"> Inf.</w:t>
            </w:r>
          </w:p>
        </w:tc>
        <w:tc>
          <w:tcPr>
            <w:tcW w:w="1392" w:type="dxa"/>
            <w:tcBorders>
              <w:top w:val="nil"/>
              <w:left w:val="nil"/>
              <w:bottom w:val="single" w:sz="4" w:space="0" w:color="auto"/>
              <w:right w:val="single" w:sz="4" w:space="0" w:color="auto"/>
            </w:tcBorders>
            <w:noWrap/>
            <w:vAlign w:val="bottom"/>
            <w:hideMark/>
          </w:tcPr>
          <w:p w14:paraId="5A8A24D6"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-0.9386</w:t>
            </w:r>
          </w:p>
        </w:tc>
        <w:tc>
          <w:tcPr>
            <w:tcW w:w="1392" w:type="dxa"/>
            <w:tcBorders>
              <w:top w:val="nil"/>
              <w:left w:val="nil"/>
              <w:bottom w:val="single" w:sz="4" w:space="0" w:color="auto"/>
              <w:right w:val="single" w:sz="4" w:space="0" w:color="auto"/>
            </w:tcBorders>
            <w:noWrap/>
            <w:vAlign w:val="bottom"/>
            <w:hideMark/>
          </w:tcPr>
          <w:p w14:paraId="00B41B29"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0.6009</w:t>
            </w:r>
          </w:p>
        </w:tc>
        <w:tc>
          <w:tcPr>
            <w:tcW w:w="844" w:type="dxa"/>
            <w:tcBorders>
              <w:top w:val="nil"/>
              <w:left w:val="nil"/>
              <w:bottom w:val="single" w:sz="4" w:space="0" w:color="auto"/>
              <w:right w:val="single" w:sz="4" w:space="0" w:color="auto"/>
            </w:tcBorders>
            <w:noWrap/>
            <w:vAlign w:val="bottom"/>
            <w:hideMark/>
          </w:tcPr>
          <w:p w14:paraId="18829936"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-1.56</w:t>
            </w:r>
          </w:p>
        </w:tc>
        <w:tc>
          <w:tcPr>
            <w:tcW w:w="1053" w:type="dxa"/>
            <w:tcBorders>
              <w:top w:val="nil"/>
              <w:left w:val="nil"/>
              <w:bottom w:val="single" w:sz="4" w:space="0" w:color="auto"/>
              <w:right w:val="single" w:sz="4" w:space="0" w:color="auto"/>
            </w:tcBorders>
            <w:noWrap/>
            <w:vAlign w:val="bottom"/>
            <w:hideMark/>
          </w:tcPr>
          <w:p w14:paraId="653C71A0"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0.12</w:t>
            </w:r>
          </w:p>
        </w:tc>
        <w:tc>
          <w:tcPr>
            <w:tcW w:w="1506" w:type="dxa"/>
            <w:tcBorders>
              <w:top w:val="nil"/>
              <w:left w:val="nil"/>
              <w:bottom w:val="single" w:sz="4" w:space="0" w:color="auto"/>
              <w:right w:val="single" w:sz="4" w:space="0" w:color="auto"/>
            </w:tcBorders>
            <w:noWrap/>
            <w:vAlign w:val="bottom"/>
            <w:hideMark/>
          </w:tcPr>
          <w:p w14:paraId="5ADFF7A1"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-2.1222</w:t>
            </w:r>
          </w:p>
        </w:tc>
        <w:tc>
          <w:tcPr>
            <w:tcW w:w="1354" w:type="dxa"/>
            <w:tcBorders>
              <w:top w:val="nil"/>
              <w:left w:val="nil"/>
              <w:bottom w:val="single" w:sz="4" w:space="0" w:color="auto"/>
              <w:right w:val="single" w:sz="4" w:space="0" w:color="auto"/>
            </w:tcBorders>
            <w:noWrap/>
            <w:vAlign w:val="bottom"/>
            <w:hideMark/>
          </w:tcPr>
          <w:p w14:paraId="5D2BBE3E"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0.2449</w:t>
            </w:r>
          </w:p>
        </w:tc>
      </w:tr>
      <w:tr w:rsidR="0014026B" w14:paraId="7F94780F" w14:textId="77777777" w:rsidTr="0014026B">
        <w:trPr>
          <w:trHeight w:val="270"/>
        </w:trPr>
        <w:tc>
          <w:tcPr>
            <w:tcW w:w="1484" w:type="dxa"/>
            <w:tcBorders>
              <w:top w:val="nil"/>
              <w:left w:val="single" w:sz="4" w:space="0" w:color="auto"/>
              <w:bottom w:val="single" w:sz="4" w:space="0" w:color="auto"/>
              <w:right w:val="single" w:sz="4" w:space="0" w:color="auto"/>
            </w:tcBorders>
            <w:noWrap/>
            <w:vAlign w:val="bottom"/>
            <w:hideMark/>
          </w:tcPr>
          <w:p w14:paraId="726C28D0" w14:textId="56D1A91B" w:rsidR="0014026B" w:rsidRDefault="0014026B">
            <w:pPr>
              <w:spacing w:after="0" w:line="240" w:lineRule="auto"/>
              <w:rPr>
                <w:rFonts w:ascii="Calibri" w:eastAsia="Times New Roman" w:hAnsi="Calibri" w:cs="Calibri"/>
                <w:color w:val="000000"/>
                <w:lang w:val="es-CL" w:eastAsia="es-CL"/>
              </w:rPr>
            </w:pPr>
            <w:r>
              <w:rPr>
                <w:rFonts w:ascii="Calibri" w:eastAsia="Times New Roman" w:hAnsi="Calibri" w:cs="Calibri"/>
                <w:color w:val="000000"/>
                <w:lang w:val="es-CL" w:eastAsia="es-CL"/>
              </w:rPr>
              <w:t>China</w:t>
            </w:r>
            <w:r w:rsidR="0062279D">
              <w:rPr>
                <w:rFonts w:ascii="Calibri" w:eastAsia="Times New Roman" w:hAnsi="Calibri" w:cs="Calibri"/>
                <w:color w:val="000000"/>
                <w:lang w:val="es-CL" w:eastAsia="es-CL"/>
              </w:rPr>
              <w:t xml:space="preserve"> Inf.</w:t>
            </w:r>
          </w:p>
        </w:tc>
        <w:tc>
          <w:tcPr>
            <w:tcW w:w="1392" w:type="dxa"/>
            <w:tcBorders>
              <w:top w:val="nil"/>
              <w:left w:val="nil"/>
              <w:bottom w:val="single" w:sz="4" w:space="0" w:color="auto"/>
              <w:right w:val="single" w:sz="4" w:space="0" w:color="auto"/>
            </w:tcBorders>
            <w:noWrap/>
            <w:vAlign w:val="bottom"/>
            <w:hideMark/>
          </w:tcPr>
          <w:p w14:paraId="3A66AE5F"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-0.3600</w:t>
            </w:r>
          </w:p>
        </w:tc>
        <w:tc>
          <w:tcPr>
            <w:tcW w:w="1392" w:type="dxa"/>
            <w:tcBorders>
              <w:top w:val="nil"/>
              <w:left w:val="nil"/>
              <w:bottom w:val="single" w:sz="4" w:space="0" w:color="auto"/>
              <w:right w:val="single" w:sz="4" w:space="0" w:color="auto"/>
            </w:tcBorders>
            <w:noWrap/>
            <w:vAlign w:val="bottom"/>
            <w:hideMark/>
          </w:tcPr>
          <w:p w14:paraId="103C4144"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0.2628</w:t>
            </w:r>
          </w:p>
        </w:tc>
        <w:tc>
          <w:tcPr>
            <w:tcW w:w="844" w:type="dxa"/>
            <w:tcBorders>
              <w:top w:val="nil"/>
              <w:left w:val="nil"/>
              <w:bottom w:val="single" w:sz="4" w:space="0" w:color="auto"/>
              <w:right w:val="single" w:sz="4" w:space="0" w:color="auto"/>
            </w:tcBorders>
            <w:noWrap/>
            <w:vAlign w:val="bottom"/>
            <w:hideMark/>
          </w:tcPr>
          <w:p w14:paraId="72A07D81"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-1.37</w:t>
            </w:r>
          </w:p>
        </w:tc>
        <w:tc>
          <w:tcPr>
            <w:tcW w:w="1053" w:type="dxa"/>
            <w:tcBorders>
              <w:top w:val="nil"/>
              <w:left w:val="nil"/>
              <w:bottom w:val="single" w:sz="4" w:space="0" w:color="auto"/>
              <w:right w:val="single" w:sz="4" w:space="0" w:color="auto"/>
            </w:tcBorders>
            <w:noWrap/>
            <w:vAlign w:val="bottom"/>
            <w:hideMark/>
          </w:tcPr>
          <w:p w14:paraId="11FBB9B9"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0.172</w:t>
            </w:r>
          </w:p>
        </w:tc>
        <w:tc>
          <w:tcPr>
            <w:tcW w:w="1506" w:type="dxa"/>
            <w:tcBorders>
              <w:top w:val="nil"/>
              <w:left w:val="nil"/>
              <w:bottom w:val="single" w:sz="4" w:space="0" w:color="auto"/>
              <w:right w:val="single" w:sz="4" w:space="0" w:color="auto"/>
            </w:tcBorders>
            <w:noWrap/>
            <w:vAlign w:val="bottom"/>
            <w:hideMark/>
          </w:tcPr>
          <w:p w14:paraId="0110AB6D"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-0.8776</w:t>
            </w:r>
          </w:p>
        </w:tc>
        <w:tc>
          <w:tcPr>
            <w:tcW w:w="1354" w:type="dxa"/>
            <w:tcBorders>
              <w:top w:val="nil"/>
              <w:left w:val="nil"/>
              <w:bottom w:val="single" w:sz="4" w:space="0" w:color="auto"/>
              <w:right w:val="single" w:sz="4" w:space="0" w:color="auto"/>
            </w:tcBorders>
            <w:noWrap/>
            <w:vAlign w:val="bottom"/>
            <w:hideMark/>
          </w:tcPr>
          <w:p w14:paraId="778D376E"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0.1575</w:t>
            </w:r>
          </w:p>
        </w:tc>
      </w:tr>
      <w:tr w:rsidR="0014026B" w14:paraId="4CE2A18E" w14:textId="77777777" w:rsidTr="0014026B">
        <w:trPr>
          <w:trHeight w:val="270"/>
        </w:trPr>
        <w:tc>
          <w:tcPr>
            <w:tcW w:w="1484" w:type="dxa"/>
            <w:tcBorders>
              <w:top w:val="nil"/>
              <w:left w:val="single" w:sz="4" w:space="0" w:color="auto"/>
              <w:bottom w:val="single" w:sz="4" w:space="0" w:color="auto"/>
              <w:right w:val="single" w:sz="4" w:space="0" w:color="auto"/>
            </w:tcBorders>
            <w:noWrap/>
            <w:vAlign w:val="bottom"/>
            <w:hideMark/>
          </w:tcPr>
          <w:p w14:paraId="7DCEE1FD" w14:textId="4B376A35" w:rsidR="0014026B" w:rsidRDefault="0014026B">
            <w:pPr>
              <w:spacing w:after="0" w:line="240" w:lineRule="auto"/>
              <w:rPr>
                <w:rFonts w:ascii="Calibri" w:eastAsia="Times New Roman" w:hAnsi="Calibri" w:cs="Calibri"/>
                <w:color w:val="000000"/>
                <w:lang w:val="es-CL" w:eastAsia="es-CL"/>
              </w:rPr>
            </w:pPr>
            <w:r>
              <w:rPr>
                <w:rFonts w:ascii="Calibri" w:eastAsia="Times New Roman" w:hAnsi="Calibri" w:cs="Calibri"/>
                <w:color w:val="000000"/>
                <w:lang w:val="es-CL" w:eastAsia="es-CL"/>
              </w:rPr>
              <w:t>Eurozon</w:t>
            </w:r>
            <w:r w:rsidR="0062279D">
              <w:rPr>
                <w:rFonts w:ascii="Calibri" w:eastAsia="Times New Roman" w:hAnsi="Calibri" w:cs="Calibri"/>
                <w:color w:val="000000"/>
                <w:lang w:val="es-CL" w:eastAsia="es-CL"/>
              </w:rPr>
              <w:t>e Inf.</w:t>
            </w:r>
          </w:p>
        </w:tc>
        <w:tc>
          <w:tcPr>
            <w:tcW w:w="1392" w:type="dxa"/>
            <w:tcBorders>
              <w:top w:val="nil"/>
              <w:left w:val="nil"/>
              <w:bottom w:val="single" w:sz="4" w:space="0" w:color="auto"/>
              <w:right w:val="single" w:sz="4" w:space="0" w:color="auto"/>
            </w:tcBorders>
            <w:noWrap/>
            <w:vAlign w:val="bottom"/>
            <w:hideMark/>
          </w:tcPr>
          <w:p w14:paraId="04C0A192"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0.0646</w:t>
            </w:r>
          </w:p>
        </w:tc>
        <w:tc>
          <w:tcPr>
            <w:tcW w:w="1392" w:type="dxa"/>
            <w:tcBorders>
              <w:top w:val="nil"/>
              <w:left w:val="nil"/>
              <w:bottom w:val="single" w:sz="4" w:space="0" w:color="auto"/>
              <w:right w:val="single" w:sz="4" w:space="0" w:color="auto"/>
            </w:tcBorders>
            <w:noWrap/>
            <w:vAlign w:val="bottom"/>
            <w:hideMark/>
          </w:tcPr>
          <w:p w14:paraId="6D031EDA"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0.3750</w:t>
            </w:r>
          </w:p>
        </w:tc>
        <w:tc>
          <w:tcPr>
            <w:tcW w:w="844" w:type="dxa"/>
            <w:tcBorders>
              <w:top w:val="nil"/>
              <w:left w:val="nil"/>
              <w:bottom w:val="single" w:sz="4" w:space="0" w:color="auto"/>
              <w:right w:val="single" w:sz="4" w:space="0" w:color="auto"/>
            </w:tcBorders>
            <w:noWrap/>
            <w:vAlign w:val="bottom"/>
            <w:hideMark/>
          </w:tcPr>
          <w:p w14:paraId="2BC36F9B"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0.17</w:t>
            </w:r>
          </w:p>
        </w:tc>
        <w:tc>
          <w:tcPr>
            <w:tcW w:w="1053" w:type="dxa"/>
            <w:tcBorders>
              <w:top w:val="nil"/>
              <w:left w:val="nil"/>
              <w:bottom w:val="single" w:sz="4" w:space="0" w:color="auto"/>
              <w:right w:val="single" w:sz="4" w:space="0" w:color="auto"/>
            </w:tcBorders>
            <w:noWrap/>
            <w:vAlign w:val="bottom"/>
            <w:hideMark/>
          </w:tcPr>
          <w:p w14:paraId="039D620E"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0.863</w:t>
            </w:r>
          </w:p>
        </w:tc>
        <w:tc>
          <w:tcPr>
            <w:tcW w:w="1506" w:type="dxa"/>
            <w:tcBorders>
              <w:top w:val="nil"/>
              <w:left w:val="nil"/>
              <w:bottom w:val="single" w:sz="4" w:space="0" w:color="auto"/>
              <w:right w:val="single" w:sz="4" w:space="0" w:color="auto"/>
            </w:tcBorders>
            <w:noWrap/>
            <w:vAlign w:val="bottom"/>
            <w:hideMark/>
          </w:tcPr>
          <w:p w14:paraId="47C77745"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-0.6741</w:t>
            </w:r>
          </w:p>
        </w:tc>
        <w:tc>
          <w:tcPr>
            <w:tcW w:w="1354" w:type="dxa"/>
            <w:tcBorders>
              <w:top w:val="nil"/>
              <w:left w:val="nil"/>
              <w:bottom w:val="single" w:sz="4" w:space="0" w:color="auto"/>
              <w:right w:val="single" w:sz="4" w:space="0" w:color="auto"/>
            </w:tcBorders>
            <w:noWrap/>
            <w:vAlign w:val="bottom"/>
            <w:hideMark/>
          </w:tcPr>
          <w:p w14:paraId="4A377725"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0.8034</w:t>
            </w:r>
          </w:p>
        </w:tc>
      </w:tr>
      <w:tr w:rsidR="0014026B" w14:paraId="7D4809A8" w14:textId="77777777" w:rsidTr="0014026B">
        <w:trPr>
          <w:trHeight w:val="270"/>
        </w:trPr>
        <w:tc>
          <w:tcPr>
            <w:tcW w:w="1484" w:type="dxa"/>
            <w:tcBorders>
              <w:top w:val="nil"/>
              <w:left w:val="single" w:sz="4" w:space="0" w:color="auto"/>
              <w:bottom w:val="single" w:sz="4" w:space="0" w:color="auto"/>
              <w:right w:val="single" w:sz="4" w:space="0" w:color="auto"/>
            </w:tcBorders>
            <w:noWrap/>
            <w:hideMark/>
          </w:tcPr>
          <w:p w14:paraId="2D5C99A2" w14:textId="77777777" w:rsidR="0014026B" w:rsidRDefault="0062217F">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1</m:t>
                    </m:r>
                  </m:sub>
                </m:sSub>
              </m:oMath>
            </m:oMathPara>
          </w:p>
        </w:tc>
        <w:tc>
          <w:tcPr>
            <w:tcW w:w="1392" w:type="dxa"/>
            <w:tcBorders>
              <w:top w:val="nil"/>
              <w:left w:val="nil"/>
              <w:bottom w:val="single" w:sz="4" w:space="0" w:color="auto"/>
              <w:right w:val="single" w:sz="4" w:space="0" w:color="auto"/>
            </w:tcBorders>
            <w:noWrap/>
            <w:vAlign w:val="bottom"/>
            <w:hideMark/>
          </w:tcPr>
          <w:p w14:paraId="547E958C"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-0.0011</w:t>
            </w:r>
          </w:p>
        </w:tc>
        <w:tc>
          <w:tcPr>
            <w:tcW w:w="1392" w:type="dxa"/>
            <w:tcBorders>
              <w:top w:val="nil"/>
              <w:left w:val="nil"/>
              <w:bottom w:val="single" w:sz="4" w:space="0" w:color="auto"/>
              <w:right w:val="single" w:sz="4" w:space="0" w:color="auto"/>
            </w:tcBorders>
            <w:noWrap/>
            <w:vAlign w:val="bottom"/>
            <w:hideMark/>
          </w:tcPr>
          <w:p w14:paraId="173BF075"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0.0149</w:t>
            </w:r>
          </w:p>
        </w:tc>
        <w:tc>
          <w:tcPr>
            <w:tcW w:w="844" w:type="dxa"/>
            <w:tcBorders>
              <w:top w:val="nil"/>
              <w:left w:val="nil"/>
              <w:bottom w:val="single" w:sz="4" w:space="0" w:color="auto"/>
              <w:right w:val="single" w:sz="4" w:space="0" w:color="auto"/>
            </w:tcBorders>
            <w:noWrap/>
            <w:vAlign w:val="bottom"/>
            <w:hideMark/>
          </w:tcPr>
          <w:p w14:paraId="71846EC0"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-0.07</w:t>
            </w:r>
          </w:p>
        </w:tc>
        <w:tc>
          <w:tcPr>
            <w:tcW w:w="1053" w:type="dxa"/>
            <w:tcBorders>
              <w:top w:val="nil"/>
              <w:left w:val="nil"/>
              <w:bottom w:val="single" w:sz="4" w:space="0" w:color="auto"/>
              <w:right w:val="single" w:sz="4" w:space="0" w:color="auto"/>
            </w:tcBorders>
            <w:noWrap/>
            <w:vAlign w:val="bottom"/>
            <w:hideMark/>
          </w:tcPr>
          <w:p w14:paraId="0099A913"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0.944</w:t>
            </w:r>
          </w:p>
        </w:tc>
        <w:tc>
          <w:tcPr>
            <w:tcW w:w="1506" w:type="dxa"/>
            <w:tcBorders>
              <w:top w:val="nil"/>
              <w:left w:val="nil"/>
              <w:bottom w:val="single" w:sz="4" w:space="0" w:color="auto"/>
              <w:right w:val="single" w:sz="4" w:space="0" w:color="auto"/>
            </w:tcBorders>
            <w:noWrap/>
            <w:vAlign w:val="bottom"/>
            <w:hideMark/>
          </w:tcPr>
          <w:p w14:paraId="21F7F1FB"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-0.0304</w:t>
            </w:r>
          </w:p>
        </w:tc>
        <w:tc>
          <w:tcPr>
            <w:tcW w:w="1354" w:type="dxa"/>
            <w:tcBorders>
              <w:top w:val="nil"/>
              <w:left w:val="nil"/>
              <w:bottom w:val="single" w:sz="4" w:space="0" w:color="auto"/>
              <w:right w:val="single" w:sz="4" w:space="0" w:color="auto"/>
            </w:tcBorders>
            <w:noWrap/>
            <w:vAlign w:val="bottom"/>
            <w:hideMark/>
          </w:tcPr>
          <w:p w14:paraId="400AE6E1"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0.0283</w:t>
            </w:r>
          </w:p>
        </w:tc>
      </w:tr>
      <w:tr w:rsidR="0014026B" w14:paraId="08E2C71A" w14:textId="77777777" w:rsidTr="0014026B">
        <w:trPr>
          <w:trHeight w:val="270"/>
        </w:trPr>
        <w:tc>
          <w:tcPr>
            <w:tcW w:w="1484" w:type="dxa"/>
            <w:tcBorders>
              <w:top w:val="nil"/>
              <w:left w:val="single" w:sz="4" w:space="0" w:color="auto"/>
              <w:bottom w:val="single" w:sz="4" w:space="0" w:color="auto"/>
              <w:right w:val="single" w:sz="4" w:space="0" w:color="auto"/>
            </w:tcBorders>
            <w:noWrap/>
            <w:hideMark/>
          </w:tcPr>
          <w:p w14:paraId="4FA7784D" w14:textId="77777777" w:rsidR="0014026B" w:rsidRDefault="0062217F">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2</m:t>
                    </m:r>
                  </m:sub>
                </m:sSub>
              </m:oMath>
            </m:oMathPara>
          </w:p>
        </w:tc>
        <w:tc>
          <w:tcPr>
            <w:tcW w:w="1392" w:type="dxa"/>
            <w:tcBorders>
              <w:top w:val="nil"/>
              <w:left w:val="nil"/>
              <w:bottom w:val="single" w:sz="4" w:space="0" w:color="auto"/>
              <w:right w:val="single" w:sz="4" w:space="0" w:color="auto"/>
            </w:tcBorders>
            <w:noWrap/>
            <w:vAlign w:val="bottom"/>
            <w:hideMark/>
          </w:tcPr>
          <w:p w14:paraId="66BF0EFE"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-0.0027</w:t>
            </w:r>
          </w:p>
        </w:tc>
        <w:tc>
          <w:tcPr>
            <w:tcW w:w="1392" w:type="dxa"/>
            <w:tcBorders>
              <w:top w:val="nil"/>
              <w:left w:val="nil"/>
              <w:bottom w:val="single" w:sz="4" w:space="0" w:color="auto"/>
              <w:right w:val="single" w:sz="4" w:space="0" w:color="auto"/>
            </w:tcBorders>
            <w:noWrap/>
            <w:vAlign w:val="bottom"/>
            <w:hideMark/>
          </w:tcPr>
          <w:p w14:paraId="4AAF0B20"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0.0195</w:t>
            </w:r>
          </w:p>
        </w:tc>
        <w:tc>
          <w:tcPr>
            <w:tcW w:w="844" w:type="dxa"/>
            <w:tcBorders>
              <w:top w:val="nil"/>
              <w:left w:val="nil"/>
              <w:bottom w:val="single" w:sz="4" w:space="0" w:color="auto"/>
              <w:right w:val="single" w:sz="4" w:space="0" w:color="auto"/>
            </w:tcBorders>
            <w:noWrap/>
            <w:vAlign w:val="bottom"/>
            <w:hideMark/>
          </w:tcPr>
          <w:p w14:paraId="384AB732"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-0.14</w:t>
            </w:r>
          </w:p>
        </w:tc>
        <w:tc>
          <w:tcPr>
            <w:tcW w:w="1053" w:type="dxa"/>
            <w:tcBorders>
              <w:top w:val="nil"/>
              <w:left w:val="nil"/>
              <w:bottom w:val="single" w:sz="4" w:space="0" w:color="auto"/>
              <w:right w:val="single" w:sz="4" w:space="0" w:color="auto"/>
            </w:tcBorders>
            <w:noWrap/>
            <w:vAlign w:val="bottom"/>
            <w:hideMark/>
          </w:tcPr>
          <w:p w14:paraId="2562DA93"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0.891</w:t>
            </w:r>
          </w:p>
        </w:tc>
        <w:tc>
          <w:tcPr>
            <w:tcW w:w="1506" w:type="dxa"/>
            <w:tcBorders>
              <w:top w:val="nil"/>
              <w:left w:val="nil"/>
              <w:bottom w:val="single" w:sz="4" w:space="0" w:color="auto"/>
              <w:right w:val="single" w:sz="4" w:space="0" w:color="auto"/>
            </w:tcBorders>
            <w:noWrap/>
            <w:vAlign w:val="bottom"/>
            <w:hideMark/>
          </w:tcPr>
          <w:p w14:paraId="5C67F1F9"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-0.0411</w:t>
            </w:r>
          </w:p>
        </w:tc>
        <w:tc>
          <w:tcPr>
            <w:tcW w:w="1354" w:type="dxa"/>
            <w:tcBorders>
              <w:top w:val="nil"/>
              <w:left w:val="nil"/>
              <w:bottom w:val="single" w:sz="4" w:space="0" w:color="auto"/>
              <w:right w:val="single" w:sz="4" w:space="0" w:color="auto"/>
            </w:tcBorders>
            <w:noWrap/>
            <w:vAlign w:val="bottom"/>
            <w:hideMark/>
          </w:tcPr>
          <w:p w14:paraId="1ABABC9E"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0.0357</w:t>
            </w:r>
          </w:p>
        </w:tc>
      </w:tr>
      <w:tr w:rsidR="0014026B" w14:paraId="17BEED73" w14:textId="77777777" w:rsidTr="0014026B">
        <w:trPr>
          <w:trHeight w:val="270"/>
        </w:trPr>
        <w:tc>
          <w:tcPr>
            <w:tcW w:w="1484" w:type="dxa"/>
            <w:tcBorders>
              <w:top w:val="nil"/>
              <w:left w:val="single" w:sz="4" w:space="0" w:color="auto"/>
              <w:bottom w:val="single" w:sz="4" w:space="0" w:color="auto"/>
              <w:right w:val="single" w:sz="4" w:space="0" w:color="auto"/>
            </w:tcBorders>
            <w:noWrap/>
            <w:hideMark/>
          </w:tcPr>
          <w:p w14:paraId="7EFCF1C7" w14:textId="77777777" w:rsidR="0014026B" w:rsidRDefault="0062217F">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3</m:t>
                    </m:r>
                  </m:sub>
                </m:sSub>
              </m:oMath>
            </m:oMathPara>
          </w:p>
        </w:tc>
        <w:tc>
          <w:tcPr>
            <w:tcW w:w="1392" w:type="dxa"/>
            <w:tcBorders>
              <w:top w:val="nil"/>
              <w:left w:val="nil"/>
              <w:bottom w:val="single" w:sz="4" w:space="0" w:color="auto"/>
              <w:right w:val="single" w:sz="4" w:space="0" w:color="auto"/>
            </w:tcBorders>
            <w:noWrap/>
            <w:vAlign w:val="bottom"/>
            <w:hideMark/>
          </w:tcPr>
          <w:p w14:paraId="48D46E7B"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-0.0209</w:t>
            </w:r>
          </w:p>
        </w:tc>
        <w:tc>
          <w:tcPr>
            <w:tcW w:w="1392" w:type="dxa"/>
            <w:tcBorders>
              <w:top w:val="nil"/>
              <w:left w:val="nil"/>
              <w:bottom w:val="single" w:sz="4" w:space="0" w:color="auto"/>
              <w:right w:val="single" w:sz="4" w:space="0" w:color="auto"/>
            </w:tcBorders>
            <w:noWrap/>
            <w:vAlign w:val="bottom"/>
            <w:hideMark/>
          </w:tcPr>
          <w:p w14:paraId="189F4305"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0.0115</w:t>
            </w:r>
          </w:p>
        </w:tc>
        <w:tc>
          <w:tcPr>
            <w:tcW w:w="844" w:type="dxa"/>
            <w:tcBorders>
              <w:top w:val="nil"/>
              <w:left w:val="nil"/>
              <w:bottom w:val="single" w:sz="4" w:space="0" w:color="auto"/>
              <w:right w:val="single" w:sz="4" w:space="0" w:color="auto"/>
            </w:tcBorders>
            <w:noWrap/>
            <w:vAlign w:val="bottom"/>
            <w:hideMark/>
          </w:tcPr>
          <w:p w14:paraId="30DAE498"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-1.82</w:t>
            </w:r>
          </w:p>
        </w:tc>
        <w:tc>
          <w:tcPr>
            <w:tcW w:w="1053" w:type="dxa"/>
            <w:tcBorders>
              <w:top w:val="nil"/>
              <w:left w:val="nil"/>
              <w:bottom w:val="single" w:sz="4" w:space="0" w:color="auto"/>
              <w:right w:val="single" w:sz="4" w:space="0" w:color="auto"/>
            </w:tcBorders>
            <w:noWrap/>
            <w:vAlign w:val="bottom"/>
            <w:hideMark/>
          </w:tcPr>
          <w:p w14:paraId="58806386"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0.07</w:t>
            </w:r>
          </w:p>
        </w:tc>
        <w:tc>
          <w:tcPr>
            <w:tcW w:w="1506" w:type="dxa"/>
            <w:tcBorders>
              <w:top w:val="nil"/>
              <w:left w:val="nil"/>
              <w:bottom w:val="single" w:sz="4" w:space="0" w:color="auto"/>
              <w:right w:val="single" w:sz="4" w:space="0" w:color="auto"/>
            </w:tcBorders>
            <w:noWrap/>
            <w:vAlign w:val="bottom"/>
            <w:hideMark/>
          </w:tcPr>
          <w:p w14:paraId="5076F062"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-0.0436</w:t>
            </w:r>
          </w:p>
        </w:tc>
        <w:tc>
          <w:tcPr>
            <w:tcW w:w="1354" w:type="dxa"/>
            <w:tcBorders>
              <w:top w:val="nil"/>
              <w:left w:val="nil"/>
              <w:bottom w:val="single" w:sz="4" w:space="0" w:color="auto"/>
              <w:right w:val="single" w:sz="4" w:space="0" w:color="auto"/>
            </w:tcBorders>
            <w:noWrap/>
            <w:vAlign w:val="bottom"/>
            <w:hideMark/>
          </w:tcPr>
          <w:p w14:paraId="7DF0BE3C"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0.0018</w:t>
            </w:r>
          </w:p>
        </w:tc>
      </w:tr>
      <w:tr w:rsidR="0014026B" w14:paraId="5D71711F" w14:textId="77777777" w:rsidTr="0014026B">
        <w:trPr>
          <w:trHeight w:val="270"/>
        </w:trPr>
        <w:tc>
          <w:tcPr>
            <w:tcW w:w="1484" w:type="dxa"/>
            <w:tcBorders>
              <w:top w:val="nil"/>
              <w:left w:val="single" w:sz="4" w:space="0" w:color="auto"/>
              <w:bottom w:val="single" w:sz="4" w:space="0" w:color="auto"/>
              <w:right w:val="single" w:sz="4" w:space="0" w:color="auto"/>
            </w:tcBorders>
            <w:noWrap/>
            <w:hideMark/>
          </w:tcPr>
          <w:p w14:paraId="12A80CC0" w14:textId="77777777" w:rsidR="0014026B" w:rsidRDefault="0062217F">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4</m:t>
                    </m:r>
                  </m:sub>
                </m:sSub>
              </m:oMath>
            </m:oMathPara>
          </w:p>
        </w:tc>
        <w:tc>
          <w:tcPr>
            <w:tcW w:w="1392" w:type="dxa"/>
            <w:tcBorders>
              <w:top w:val="nil"/>
              <w:left w:val="nil"/>
              <w:bottom w:val="single" w:sz="4" w:space="0" w:color="auto"/>
              <w:right w:val="single" w:sz="4" w:space="0" w:color="auto"/>
            </w:tcBorders>
            <w:noWrap/>
            <w:vAlign w:val="bottom"/>
            <w:hideMark/>
          </w:tcPr>
          <w:p w14:paraId="53FDEF86"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-0.0143</w:t>
            </w:r>
          </w:p>
        </w:tc>
        <w:tc>
          <w:tcPr>
            <w:tcW w:w="1392" w:type="dxa"/>
            <w:tcBorders>
              <w:top w:val="nil"/>
              <w:left w:val="nil"/>
              <w:bottom w:val="single" w:sz="4" w:space="0" w:color="auto"/>
              <w:right w:val="single" w:sz="4" w:space="0" w:color="auto"/>
            </w:tcBorders>
            <w:noWrap/>
            <w:vAlign w:val="bottom"/>
            <w:hideMark/>
          </w:tcPr>
          <w:p w14:paraId="4FDAD659"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0.0107</w:t>
            </w:r>
          </w:p>
        </w:tc>
        <w:tc>
          <w:tcPr>
            <w:tcW w:w="844" w:type="dxa"/>
            <w:tcBorders>
              <w:top w:val="nil"/>
              <w:left w:val="nil"/>
              <w:bottom w:val="single" w:sz="4" w:space="0" w:color="auto"/>
              <w:right w:val="single" w:sz="4" w:space="0" w:color="auto"/>
            </w:tcBorders>
            <w:noWrap/>
            <w:vAlign w:val="bottom"/>
            <w:hideMark/>
          </w:tcPr>
          <w:p w14:paraId="195DF90A"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-1.34</w:t>
            </w:r>
          </w:p>
        </w:tc>
        <w:tc>
          <w:tcPr>
            <w:tcW w:w="1053" w:type="dxa"/>
            <w:tcBorders>
              <w:top w:val="nil"/>
              <w:left w:val="nil"/>
              <w:bottom w:val="single" w:sz="4" w:space="0" w:color="auto"/>
              <w:right w:val="single" w:sz="4" w:space="0" w:color="auto"/>
            </w:tcBorders>
            <w:noWrap/>
            <w:vAlign w:val="bottom"/>
            <w:hideMark/>
          </w:tcPr>
          <w:p w14:paraId="4527ACE7"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0.181</w:t>
            </w:r>
          </w:p>
        </w:tc>
        <w:tc>
          <w:tcPr>
            <w:tcW w:w="1506" w:type="dxa"/>
            <w:tcBorders>
              <w:top w:val="nil"/>
              <w:left w:val="nil"/>
              <w:bottom w:val="single" w:sz="4" w:space="0" w:color="auto"/>
              <w:right w:val="single" w:sz="4" w:space="0" w:color="auto"/>
            </w:tcBorders>
            <w:noWrap/>
            <w:vAlign w:val="bottom"/>
            <w:hideMark/>
          </w:tcPr>
          <w:p w14:paraId="1E210392"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-0.0353</w:t>
            </w:r>
          </w:p>
        </w:tc>
        <w:tc>
          <w:tcPr>
            <w:tcW w:w="1354" w:type="dxa"/>
            <w:tcBorders>
              <w:top w:val="nil"/>
              <w:left w:val="nil"/>
              <w:bottom w:val="single" w:sz="4" w:space="0" w:color="auto"/>
              <w:right w:val="single" w:sz="4" w:space="0" w:color="auto"/>
            </w:tcBorders>
            <w:noWrap/>
            <w:vAlign w:val="bottom"/>
            <w:hideMark/>
          </w:tcPr>
          <w:p w14:paraId="7392AFDC"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0.0067</w:t>
            </w:r>
          </w:p>
        </w:tc>
      </w:tr>
      <w:tr w:rsidR="0014026B" w14:paraId="3EAB9F39" w14:textId="77777777" w:rsidTr="0014026B">
        <w:trPr>
          <w:trHeight w:val="270"/>
        </w:trPr>
        <w:tc>
          <w:tcPr>
            <w:tcW w:w="1484" w:type="dxa"/>
            <w:tcBorders>
              <w:top w:val="nil"/>
              <w:left w:val="single" w:sz="4" w:space="0" w:color="auto"/>
              <w:bottom w:val="single" w:sz="4" w:space="0" w:color="auto"/>
              <w:right w:val="single" w:sz="4" w:space="0" w:color="auto"/>
            </w:tcBorders>
            <w:noWrap/>
            <w:hideMark/>
          </w:tcPr>
          <w:p w14:paraId="640DA92C" w14:textId="77777777" w:rsidR="0014026B" w:rsidRDefault="0062217F">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5</m:t>
                    </m:r>
                  </m:sub>
                </m:sSub>
              </m:oMath>
            </m:oMathPara>
          </w:p>
        </w:tc>
        <w:tc>
          <w:tcPr>
            <w:tcW w:w="1392" w:type="dxa"/>
            <w:tcBorders>
              <w:top w:val="nil"/>
              <w:left w:val="nil"/>
              <w:bottom w:val="single" w:sz="4" w:space="0" w:color="auto"/>
              <w:right w:val="single" w:sz="4" w:space="0" w:color="auto"/>
            </w:tcBorders>
            <w:noWrap/>
            <w:vAlign w:val="bottom"/>
            <w:hideMark/>
          </w:tcPr>
          <w:p w14:paraId="7B1FE0EF"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-0.0064</w:t>
            </w:r>
          </w:p>
        </w:tc>
        <w:tc>
          <w:tcPr>
            <w:tcW w:w="1392" w:type="dxa"/>
            <w:tcBorders>
              <w:top w:val="nil"/>
              <w:left w:val="nil"/>
              <w:bottom w:val="single" w:sz="4" w:space="0" w:color="auto"/>
              <w:right w:val="single" w:sz="4" w:space="0" w:color="auto"/>
            </w:tcBorders>
            <w:noWrap/>
            <w:vAlign w:val="bottom"/>
            <w:hideMark/>
          </w:tcPr>
          <w:p w14:paraId="11053CDE"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0.0068</w:t>
            </w:r>
          </w:p>
        </w:tc>
        <w:tc>
          <w:tcPr>
            <w:tcW w:w="844" w:type="dxa"/>
            <w:tcBorders>
              <w:top w:val="nil"/>
              <w:left w:val="nil"/>
              <w:bottom w:val="single" w:sz="4" w:space="0" w:color="auto"/>
              <w:right w:val="single" w:sz="4" w:space="0" w:color="auto"/>
            </w:tcBorders>
            <w:noWrap/>
            <w:vAlign w:val="bottom"/>
            <w:hideMark/>
          </w:tcPr>
          <w:p w14:paraId="10FCD6DC"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-0.95</w:t>
            </w:r>
          </w:p>
        </w:tc>
        <w:tc>
          <w:tcPr>
            <w:tcW w:w="1053" w:type="dxa"/>
            <w:tcBorders>
              <w:top w:val="nil"/>
              <w:left w:val="nil"/>
              <w:bottom w:val="single" w:sz="4" w:space="0" w:color="auto"/>
              <w:right w:val="single" w:sz="4" w:space="0" w:color="auto"/>
            </w:tcBorders>
            <w:noWrap/>
            <w:vAlign w:val="bottom"/>
            <w:hideMark/>
          </w:tcPr>
          <w:p w14:paraId="4ECB70F7"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0.342</w:t>
            </w:r>
          </w:p>
        </w:tc>
        <w:tc>
          <w:tcPr>
            <w:tcW w:w="1506" w:type="dxa"/>
            <w:tcBorders>
              <w:top w:val="nil"/>
              <w:left w:val="nil"/>
              <w:bottom w:val="single" w:sz="4" w:space="0" w:color="auto"/>
              <w:right w:val="single" w:sz="4" w:space="0" w:color="auto"/>
            </w:tcBorders>
            <w:noWrap/>
            <w:vAlign w:val="bottom"/>
            <w:hideMark/>
          </w:tcPr>
          <w:p w14:paraId="6DB992AA"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-0.0197</w:t>
            </w:r>
          </w:p>
        </w:tc>
        <w:tc>
          <w:tcPr>
            <w:tcW w:w="1354" w:type="dxa"/>
            <w:tcBorders>
              <w:top w:val="nil"/>
              <w:left w:val="nil"/>
              <w:bottom w:val="single" w:sz="4" w:space="0" w:color="auto"/>
              <w:right w:val="single" w:sz="4" w:space="0" w:color="auto"/>
            </w:tcBorders>
            <w:noWrap/>
            <w:vAlign w:val="bottom"/>
            <w:hideMark/>
          </w:tcPr>
          <w:p w14:paraId="033C62EC"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0.0069</w:t>
            </w:r>
          </w:p>
        </w:tc>
      </w:tr>
      <w:tr w:rsidR="0014026B" w14:paraId="200FD127" w14:textId="77777777" w:rsidTr="0014026B">
        <w:trPr>
          <w:trHeight w:val="270"/>
        </w:trPr>
        <w:tc>
          <w:tcPr>
            <w:tcW w:w="1484" w:type="dxa"/>
            <w:tcBorders>
              <w:top w:val="nil"/>
              <w:left w:val="single" w:sz="4" w:space="0" w:color="auto"/>
              <w:bottom w:val="single" w:sz="4" w:space="0" w:color="auto"/>
              <w:right w:val="single" w:sz="4" w:space="0" w:color="auto"/>
            </w:tcBorders>
            <w:noWrap/>
            <w:hideMark/>
          </w:tcPr>
          <w:p w14:paraId="59081CFB" w14:textId="77777777" w:rsidR="0014026B" w:rsidRDefault="0062217F">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6</m:t>
                    </m:r>
                  </m:sub>
                </m:sSub>
              </m:oMath>
            </m:oMathPara>
          </w:p>
        </w:tc>
        <w:tc>
          <w:tcPr>
            <w:tcW w:w="1392" w:type="dxa"/>
            <w:tcBorders>
              <w:top w:val="nil"/>
              <w:left w:val="nil"/>
              <w:bottom w:val="single" w:sz="4" w:space="0" w:color="auto"/>
              <w:right w:val="single" w:sz="4" w:space="0" w:color="auto"/>
            </w:tcBorders>
            <w:noWrap/>
            <w:vAlign w:val="bottom"/>
            <w:hideMark/>
          </w:tcPr>
          <w:p w14:paraId="274CC0C5"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0.0220</w:t>
            </w:r>
          </w:p>
        </w:tc>
        <w:tc>
          <w:tcPr>
            <w:tcW w:w="1392" w:type="dxa"/>
            <w:tcBorders>
              <w:top w:val="nil"/>
              <w:left w:val="nil"/>
              <w:bottom w:val="single" w:sz="4" w:space="0" w:color="auto"/>
              <w:right w:val="single" w:sz="4" w:space="0" w:color="auto"/>
            </w:tcBorders>
            <w:noWrap/>
            <w:vAlign w:val="bottom"/>
            <w:hideMark/>
          </w:tcPr>
          <w:p w14:paraId="468C1B82"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0.0069</w:t>
            </w:r>
          </w:p>
        </w:tc>
        <w:tc>
          <w:tcPr>
            <w:tcW w:w="844" w:type="dxa"/>
            <w:tcBorders>
              <w:top w:val="nil"/>
              <w:left w:val="nil"/>
              <w:bottom w:val="single" w:sz="4" w:space="0" w:color="auto"/>
              <w:right w:val="single" w:sz="4" w:space="0" w:color="auto"/>
            </w:tcBorders>
            <w:noWrap/>
            <w:vAlign w:val="bottom"/>
            <w:hideMark/>
          </w:tcPr>
          <w:p w14:paraId="0808312F"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3.2</w:t>
            </w:r>
          </w:p>
        </w:tc>
        <w:tc>
          <w:tcPr>
            <w:tcW w:w="1053" w:type="dxa"/>
            <w:tcBorders>
              <w:top w:val="nil"/>
              <w:left w:val="nil"/>
              <w:bottom w:val="single" w:sz="4" w:space="0" w:color="auto"/>
              <w:right w:val="single" w:sz="4" w:space="0" w:color="auto"/>
            </w:tcBorders>
            <w:noWrap/>
            <w:vAlign w:val="bottom"/>
            <w:hideMark/>
          </w:tcPr>
          <w:p w14:paraId="3D537B37"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0.002</w:t>
            </w:r>
          </w:p>
        </w:tc>
        <w:tc>
          <w:tcPr>
            <w:tcW w:w="1506" w:type="dxa"/>
            <w:tcBorders>
              <w:top w:val="nil"/>
              <w:left w:val="nil"/>
              <w:bottom w:val="single" w:sz="4" w:space="0" w:color="auto"/>
              <w:right w:val="single" w:sz="4" w:space="0" w:color="auto"/>
            </w:tcBorders>
            <w:noWrap/>
            <w:vAlign w:val="bottom"/>
            <w:hideMark/>
          </w:tcPr>
          <w:p w14:paraId="46AACE16"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0.0085</w:t>
            </w:r>
          </w:p>
        </w:tc>
        <w:tc>
          <w:tcPr>
            <w:tcW w:w="1354" w:type="dxa"/>
            <w:tcBorders>
              <w:top w:val="nil"/>
              <w:left w:val="nil"/>
              <w:bottom w:val="single" w:sz="4" w:space="0" w:color="auto"/>
              <w:right w:val="single" w:sz="4" w:space="0" w:color="auto"/>
            </w:tcBorders>
            <w:noWrap/>
            <w:vAlign w:val="bottom"/>
            <w:hideMark/>
          </w:tcPr>
          <w:p w14:paraId="21B10B6B"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0.0355</w:t>
            </w:r>
          </w:p>
        </w:tc>
      </w:tr>
      <w:tr w:rsidR="0014026B" w14:paraId="7F2DBDEE" w14:textId="77777777" w:rsidTr="0014026B">
        <w:trPr>
          <w:trHeight w:val="270"/>
        </w:trPr>
        <w:tc>
          <w:tcPr>
            <w:tcW w:w="1484" w:type="dxa"/>
            <w:tcBorders>
              <w:top w:val="nil"/>
              <w:left w:val="single" w:sz="4" w:space="0" w:color="auto"/>
              <w:bottom w:val="single" w:sz="4" w:space="0" w:color="auto"/>
              <w:right w:val="single" w:sz="4" w:space="0" w:color="auto"/>
            </w:tcBorders>
            <w:noWrap/>
            <w:vAlign w:val="bottom"/>
            <w:hideMark/>
          </w:tcPr>
          <w:p w14:paraId="19D7915F" w14:textId="4E906CAE" w:rsidR="0014026B" w:rsidRDefault="0014026B">
            <w:pPr>
              <w:spacing w:after="0" w:line="240" w:lineRule="auto"/>
              <w:rPr>
                <w:rFonts w:ascii="Calibri" w:eastAsia="Times New Roman" w:hAnsi="Calibri" w:cs="Calibri"/>
                <w:color w:val="000000"/>
                <w:lang w:val="es-CL" w:eastAsia="es-CL"/>
              </w:rPr>
            </w:pPr>
            <w:r>
              <w:rPr>
                <w:rFonts w:ascii="Calibri" w:eastAsia="Times New Roman" w:hAnsi="Calibri" w:cs="Calibri"/>
                <w:color w:val="000000"/>
                <w:lang w:val="es-CL" w:eastAsia="es-CL"/>
              </w:rPr>
              <w:t>Chile</w:t>
            </w:r>
            <w:r w:rsidR="0062279D">
              <w:rPr>
                <w:rFonts w:ascii="Calibri" w:eastAsia="Times New Roman" w:hAnsi="Calibri" w:cs="Calibri"/>
                <w:color w:val="000000"/>
                <w:lang w:val="es-CL" w:eastAsia="es-CL"/>
              </w:rPr>
              <w:t xml:space="preserve"> Inf.</w:t>
            </w:r>
            <w:r>
              <w:rPr>
                <w:rFonts w:ascii="Calibri" w:eastAsia="Times New Roman" w:hAnsi="Calibri" w:cs="Calibri"/>
                <w:color w:val="000000"/>
                <w:lang w:val="es-CL" w:eastAsia="es-CL"/>
              </w:rPr>
              <w:t xml:space="preserve"> </w:t>
            </w:r>
            <m:oMath>
              <m:sSub>
                <m:sSubPr>
                  <m:ctrlPr>
                    <w:rPr>
                      <w:rFonts w:ascii="Cambria Math" w:eastAsia="Times New Roman" w:hAnsi="Cambria Math" w:cs="Calibri"/>
                      <w:iCs/>
                      <w:color w:val="000000"/>
                    </w:rPr>
                  </m:ctrlPr>
                </m:sSubPr>
                <m:e>
                  <m:r>
                    <m:rPr>
                      <m:sty m:val="p"/>
                    </m:rPr>
                    <w:rPr>
                      <w:rFonts w:ascii="Cambria Math" w:eastAsia="Times New Roman" w:hAnsi="Cambria Math" w:cs="Calibri"/>
                      <w:color w:val="000000"/>
                    </w:rPr>
                    <m:t>L</m:t>
                  </m:r>
                </m:e>
                <m:sub>
                  <m:r>
                    <m:rPr>
                      <m:sty m:val="p"/>
                    </m:rPr>
                    <w:rPr>
                      <w:rFonts w:ascii="Cambria Math" w:eastAsia="Times New Roman" w:hAnsi="Cambria Math" w:cs="Calibri"/>
                      <w:color w:val="000000"/>
                    </w:rPr>
                    <m:t>1</m:t>
                  </m:r>
                </m:sub>
              </m:sSub>
            </m:oMath>
          </w:p>
        </w:tc>
        <w:tc>
          <w:tcPr>
            <w:tcW w:w="1392" w:type="dxa"/>
            <w:tcBorders>
              <w:top w:val="nil"/>
              <w:left w:val="nil"/>
              <w:bottom w:val="single" w:sz="4" w:space="0" w:color="auto"/>
              <w:right w:val="single" w:sz="4" w:space="0" w:color="auto"/>
            </w:tcBorders>
            <w:noWrap/>
            <w:vAlign w:val="bottom"/>
            <w:hideMark/>
          </w:tcPr>
          <w:p w14:paraId="7DF0B8EF"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0.4282</w:t>
            </w:r>
          </w:p>
        </w:tc>
        <w:tc>
          <w:tcPr>
            <w:tcW w:w="1392" w:type="dxa"/>
            <w:tcBorders>
              <w:top w:val="nil"/>
              <w:left w:val="nil"/>
              <w:bottom w:val="single" w:sz="4" w:space="0" w:color="auto"/>
              <w:right w:val="single" w:sz="4" w:space="0" w:color="auto"/>
            </w:tcBorders>
            <w:noWrap/>
            <w:vAlign w:val="bottom"/>
            <w:hideMark/>
          </w:tcPr>
          <w:p w14:paraId="16F39759"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0.5910</w:t>
            </w:r>
          </w:p>
        </w:tc>
        <w:tc>
          <w:tcPr>
            <w:tcW w:w="844" w:type="dxa"/>
            <w:tcBorders>
              <w:top w:val="nil"/>
              <w:left w:val="nil"/>
              <w:bottom w:val="single" w:sz="4" w:space="0" w:color="auto"/>
              <w:right w:val="single" w:sz="4" w:space="0" w:color="auto"/>
            </w:tcBorders>
            <w:noWrap/>
            <w:vAlign w:val="bottom"/>
            <w:hideMark/>
          </w:tcPr>
          <w:p w14:paraId="1A01E1D0"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0.72</w:t>
            </w:r>
          </w:p>
        </w:tc>
        <w:tc>
          <w:tcPr>
            <w:tcW w:w="1053" w:type="dxa"/>
            <w:tcBorders>
              <w:top w:val="nil"/>
              <w:left w:val="nil"/>
              <w:bottom w:val="single" w:sz="4" w:space="0" w:color="auto"/>
              <w:right w:val="single" w:sz="4" w:space="0" w:color="auto"/>
            </w:tcBorders>
            <w:noWrap/>
            <w:vAlign w:val="bottom"/>
            <w:hideMark/>
          </w:tcPr>
          <w:p w14:paraId="5540B00B"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0.469</w:t>
            </w:r>
          </w:p>
        </w:tc>
        <w:tc>
          <w:tcPr>
            <w:tcW w:w="1506" w:type="dxa"/>
            <w:tcBorders>
              <w:top w:val="nil"/>
              <w:left w:val="nil"/>
              <w:bottom w:val="single" w:sz="4" w:space="0" w:color="auto"/>
              <w:right w:val="single" w:sz="4" w:space="0" w:color="auto"/>
            </w:tcBorders>
            <w:noWrap/>
            <w:vAlign w:val="bottom"/>
            <w:hideMark/>
          </w:tcPr>
          <w:p w14:paraId="2DAE7AC7"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-0.7358</w:t>
            </w:r>
          </w:p>
        </w:tc>
        <w:tc>
          <w:tcPr>
            <w:tcW w:w="1354" w:type="dxa"/>
            <w:tcBorders>
              <w:top w:val="nil"/>
              <w:left w:val="nil"/>
              <w:bottom w:val="single" w:sz="4" w:space="0" w:color="auto"/>
              <w:right w:val="single" w:sz="4" w:space="0" w:color="auto"/>
            </w:tcBorders>
            <w:noWrap/>
            <w:vAlign w:val="bottom"/>
            <w:hideMark/>
          </w:tcPr>
          <w:p w14:paraId="19A8E389"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1.5923</w:t>
            </w:r>
          </w:p>
        </w:tc>
      </w:tr>
      <w:tr w:rsidR="0062279D" w14:paraId="5FDC6EAF" w14:textId="77777777" w:rsidTr="0014026B">
        <w:trPr>
          <w:trHeight w:val="270"/>
        </w:trPr>
        <w:tc>
          <w:tcPr>
            <w:tcW w:w="1484" w:type="dxa"/>
            <w:tcBorders>
              <w:top w:val="nil"/>
              <w:left w:val="single" w:sz="4" w:space="0" w:color="auto"/>
              <w:bottom w:val="single" w:sz="4" w:space="0" w:color="auto"/>
              <w:right w:val="single" w:sz="4" w:space="0" w:color="auto"/>
            </w:tcBorders>
            <w:noWrap/>
            <w:vAlign w:val="bottom"/>
            <w:hideMark/>
          </w:tcPr>
          <w:p w14:paraId="18DC5863" w14:textId="11492841" w:rsidR="0062279D" w:rsidRDefault="0062279D" w:rsidP="0062279D">
            <w:pPr>
              <w:spacing w:after="0" w:line="240" w:lineRule="auto"/>
              <w:rPr>
                <w:rFonts w:ascii="Calibri" w:eastAsia="Times New Roman" w:hAnsi="Calibri" w:cs="Calibri"/>
                <w:color w:val="000000"/>
                <w:lang w:val="es-CL" w:eastAsia="es-CL"/>
              </w:rPr>
            </w:pPr>
            <m:oMath>
              <m:r>
                <w:rPr>
                  <w:rFonts w:ascii="Cambria Math" w:eastAsia="Times New Roman" w:hAnsi="Cambria Math" w:cs="Calibri"/>
                  <w:color w:val="000000"/>
                  <w:lang w:val="es-CL" w:eastAsia="es-CL"/>
                </w:rPr>
                <m:t>∆</m:t>
              </m:r>
            </m:oMath>
            <w:r>
              <w:rPr>
                <w:rFonts w:ascii="Calibri" w:eastAsia="Times New Roman" w:hAnsi="Calibri" w:cs="Calibri"/>
                <w:color w:val="000000"/>
                <w:lang w:val="es-CL" w:eastAsia="es-CL"/>
              </w:rPr>
              <w:t xml:space="preserve"> TPM </w:t>
            </w:r>
            <m:oMath>
              <m:sSub>
                <m:sSubPr>
                  <m:ctrlPr>
                    <w:rPr>
                      <w:rFonts w:ascii="Cambria Math" w:eastAsia="Times New Roman" w:hAnsi="Cambria Math" w:cs="Calibri"/>
                      <w:iCs/>
                      <w:color w:val="000000"/>
                    </w:rPr>
                  </m:ctrlPr>
                </m:sSubPr>
                <m:e>
                  <m:r>
                    <m:rPr>
                      <m:sty m:val="p"/>
                    </m:rPr>
                    <w:rPr>
                      <w:rFonts w:ascii="Cambria Math" w:eastAsia="Times New Roman" w:hAnsi="Cambria Math" w:cs="Calibri"/>
                      <w:color w:val="000000"/>
                    </w:rPr>
                    <m:t>L</m:t>
                  </m:r>
                </m:e>
                <m:sub>
                  <m:r>
                    <m:rPr>
                      <m:sty m:val="p"/>
                    </m:rPr>
                    <w:rPr>
                      <w:rFonts w:ascii="Cambria Math" w:eastAsia="Times New Roman" w:hAnsi="Cambria Math" w:cs="Calibri"/>
                      <w:color w:val="000000"/>
                    </w:rPr>
                    <m:t>1</m:t>
                  </m:r>
                </m:sub>
              </m:sSub>
            </m:oMath>
          </w:p>
        </w:tc>
        <w:tc>
          <w:tcPr>
            <w:tcW w:w="1392" w:type="dxa"/>
            <w:tcBorders>
              <w:top w:val="nil"/>
              <w:left w:val="nil"/>
              <w:bottom w:val="single" w:sz="4" w:space="0" w:color="auto"/>
              <w:right w:val="single" w:sz="4" w:space="0" w:color="auto"/>
            </w:tcBorders>
            <w:noWrap/>
            <w:vAlign w:val="bottom"/>
            <w:hideMark/>
          </w:tcPr>
          <w:p w14:paraId="58378A6E"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0.0101</w:t>
            </w:r>
          </w:p>
        </w:tc>
        <w:tc>
          <w:tcPr>
            <w:tcW w:w="1392" w:type="dxa"/>
            <w:tcBorders>
              <w:top w:val="nil"/>
              <w:left w:val="nil"/>
              <w:bottom w:val="single" w:sz="4" w:space="0" w:color="auto"/>
              <w:right w:val="single" w:sz="4" w:space="0" w:color="auto"/>
            </w:tcBorders>
            <w:noWrap/>
            <w:vAlign w:val="bottom"/>
            <w:hideMark/>
          </w:tcPr>
          <w:p w14:paraId="65C68E34"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0.0147</w:t>
            </w:r>
          </w:p>
        </w:tc>
        <w:tc>
          <w:tcPr>
            <w:tcW w:w="844" w:type="dxa"/>
            <w:tcBorders>
              <w:top w:val="nil"/>
              <w:left w:val="nil"/>
              <w:bottom w:val="single" w:sz="4" w:space="0" w:color="auto"/>
              <w:right w:val="single" w:sz="4" w:space="0" w:color="auto"/>
            </w:tcBorders>
            <w:noWrap/>
            <w:vAlign w:val="bottom"/>
            <w:hideMark/>
          </w:tcPr>
          <w:p w14:paraId="0D4A3E7B"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0.69</w:t>
            </w:r>
          </w:p>
        </w:tc>
        <w:tc>
          <w:tcPr>
            <w:tcW w:w="1053" w:type="dxa"/>
            <w:tcBorders>
              <w:top w:val="nil"/>
              <w:left w:val="nil"/>
              <w:bottom w:val="single" w:sz="4" w:space="0" w:color="auto"/>
              <w:right w:val="single" w:sz="4" w:space="0" w:color="auto"/>
            </w:tcBorders>
            <w:noWrap/>
            <w:vAlign w:val="bottom"/>
            <w:hideMark/>
          </w:tcPr>
          <w:p w14:paraId="744BA323"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0.491</w:t>
            </w:r>
          </w:p>
        </w:tc>
        <w:tc>
          <w:tcPr>
            <w:tcW w:w="1506" w:type="dxa"/>
            <w:tcBorders>
              <w:top w:val="nil"/>
              <w:left w:val="nil"/>
              <w:bottom w:val="single" w:sz="4" w:space="0" w:color="auto"/>
              <w:right w:val="single" w:sz="4" w:space="0" w:color="auto"/>
            </w:tcBorders>
            <w:noWrap/>
            <w:vAlign w:val="bottom"/>
            <w:hideMark/>
          </w:tcPr>
          <w:p w14:paraId="14BE673C"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-0.0188</w:t>
            </w:r>
          </w:p>
        </w:tc>
        <w:tc>
          <w:tcPr>
            <w:tcW w:w="1354" w:type="dxa"/>
            <w:tcBorders>
              <w:top w:val="nil"/>
              <w:left w:val="nil"/>
              <w:bottom w:val="single" w:sz="4" w:space="0" w:color="auto"/>
              <w:right w:val="single" w:sz="4" w:space="0" w:color="auto"/>
            </w:tcBorders>
            <w:noWrap/>
            <w:vAlign w:val="bottom"/>
            <w:hideMark/>
          </w:tcPr>
          <w:p w14:paraId="678B2377"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0.0391</w:t>
            </w:r>
          </w:p>
        </w:tc>
      </w:tr>
      <w:tr w:rsidR="0062279D" w14:paraId="49C3607F" w14:textId="77777777" w:rsidTr="0014026B">
        <w:trPr>
          <w:trHeight w:val="270"/>
        </w:trPr>
        <w:tc>
          <w:tcPr>
            <w:tcW w:w="1484" w:type="dxa"/>
            <w:tcBorders>
              <w:top w:val="nil"/>
              <w:left w:val="single" w:sz="4" w:space="0" w:color="auto"/>
              <w:bottom w:val="single" w:sz="4" w:space="0" w:color="auto"/>
              <w:right w:val="single" w:sz="4" w:space="0" w:color="auto"/>
            </w:tcBorders>
            <w:noWrap/>
            <w:vAlign w:val="bottom"/>
            <w:hideMark/>
          </w:tcPr>
          <w:p w14:paraId="268F2357" w14:textId="3240CCB0" w:rsidR="0062279D" w:rsidRDefault="0062279D" w:rsidP="0062279D">
            <w:pPr>
              <w:spacing w:after="0" w:line="240" w:lineRule="auto"/>
              <w:rPr>
                <w:rFonts w:ascii="Calibri" w:eastAsia="Times New Roman" w:hAnsi="Calibri" w:cs="Calibri"/>
                <w:color w:val="000000"/>
                <w:lang w:val="es-CL" w:eastAsia="es-CL"/>
              </w:rPr>
            </w:pPr>
            <m:oMath>
              <m:r>
                <w:rPr>
                  <w:rFonts w:ascii="Cambria Math" w:eastAsia="Times New Roman" w:hAnsi="Cambria Math" w:cs="Calibri"/>
                  <w:color w:val="000000"/>
                  <w:lang w:val="es-CL" w:eastAsia="es-CL"/>
                </w:rPr>
                <m:t>∆</m:t>
              </m:r>
            </m:oMath>
            <w:r>
              <w:rPr>
                <w:rFonts w:ascii="Calibri" w:eastAsia="Times New Roman" w:hAnsi="Calibri" w:cs="Calibri"/>
                <w:color w:val="000000"/>
                <w:lang w:val="es-CL" w:eastAsia="es-CL"/>
              </w:rPr>
              <w:t xml:space="preserve"> TPM </w:t>
            </w:r>
            <m:oMath>
              <m:sSub>
                <m:sSubPr>
                  <m:ctrlPr>
                    <w:rPr>
                      <w:rFonts w:ascii="Cambria Math" w:eastAsia="Times New Roman" w:hAnsi="Cambria Math" w:cs="Calibri"/>
                      <w:iCs/>
                      <w:color w:val="000000"/>
                    </w:rPr>
                  </m:ctrlPr>
                </m:sSubPr>
                <m:e>
                  <m:r>
                    <m:rPr>
                      <m:sty m:val="p"/>
                    </m:rPr>
                    <w:rPr>
                      <w:rFonts w:ascii="Cambria Math" w:eastAsia="Times New Roman" w:hAnsi="Cambria Math" w:cs="Calibri"/>
                      <w:color w:val="000000"/>
                    </w:rPr>
                    <m:t>L</m:t>
                  </m:r>
                </m:e>
                <m:sub>
                  <m:r>
                    <w:rPr>
                      <w:rFonts w:ascii="Cambria Math" w:eastAsia="Times New Roman" w:hAnsi="Cambria Math" w:cs="Calibri"/>
                      <w:color w:val="000000"/>
                    </w:rPr>
                    <m:t>2</m:t>
                  </m:r>
                </m:sub>
              </m:sSub>
            </m:oMath>
          </w:p>
        </w:tc>
        <w:tc>
          <w:tcPr>
            <w:tcW w:w="1392" w:type="dxa"/>
            <w:tcBorders>
              <w:top w:val="nil"/>
              <w:left w:val="nil"/>
              <w:bottom w:val="single" w:sz="4" w:space="0" w:color="auto"/>
              <w:right w:val="single" w:sz="4" w:space="0" w:color="auto"/>
            </w:tcBorders>
            <w:noWrap/>
            <w:vAlign w:val="bottom"/>
            <w:hideMark/>
          </w:tcPr>
          <w:p w14:paraId="5C4B8C6E"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-0.0284</w:t>
            </w:r>
          </w:p>
        </w:tc>
        <w:tc>
          <w:tcPr>
            <w:tcW w:w="1392" w:type="dxa"/>
            <w:tcBorders>
              <w:top w:val="nil"/>
              <w:left w:val="nil"/>
              <w:bottom w:val="single" w:sz="4" w:space="0" w:color="auto"/>
              <w:right w:val="single" w:sz="4" w:space="0" w:color="auto"/>
            </w:tcBorders>
            <w:noWrap/>
            <w:vAlign w:val="bottom"/>
            <w:hideMark/>
          </w:tcPr>
          <w:p w14:paraId="59575145"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0.0201</w:t>
            </w:r>
          </w:p>
        </w:tc>
        <w:tc>
          <w:tcPr>
            <w:tcW w:w="844" w:type="dxa"/>
            <w:tcBorders>
              <w:top w:val="nil"/>
              <w:left w:val="nil"/>
              <w:bottom w:val="single" w:sz="4" w:space="0" w:color="auto"/>
              <w:right w:val="single" w:sz="4" w:space="0" w:color="auto"/>
            </w:tcBorders>
            <w:noWrap/>
            <w:vAlign w:val="bottom"/>
            <w:hideMark/>
          </w:tcPr>
          <w:p w14:paraId="05D5A0D5"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-1.41</w:t>
            </w:r>
          </w:p>
        </w:tc>
        <w:tc>
          <w:tcPr>
            <w:tcW w:w="1053" w:type="dxa"/>
            <w:tcBorders>
              <w:top w:val="nil"/>
              <w:left w:val="nil"/>
              <w:bottom w:val="single" w:sz="4" w:space="0" w:color="auto"/>
              <w:right w:val="single" w:sz="4" w:space="0" w:color="auto"/>
            </w:tcBorders>
            <w:noWrap/>
            <w:vAlign w:val="bottom"/>
            <w:hideMark/>
          </w:tcPr>
          <w:p w14:paraId="6F87B9E8"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0.159</w:t>
            </w:r>
          </w:p>
        </w:tc>
        <w:tc>
          <w:tcPr>
            <w:tcW w:w="1506" w:type="dxa"/>
            <w:tcBorders>
              <w:top w:val="nil"/>
              <w:left w:val="nil"/>
              <w:bottom w:val="single" w:sz="4" w:space="0" w:color="auto"/>
              <w:right w:val="single" w:sz="4" w:space="0" w:color="auto"/>
            </w:tcBorders>
            <w:noWrap/>
            <w:vAlign w:val="bottom"/>
            <w:hideMark/>
          </w:tcPr>
          <w:p w14:paraId="44F3F1C4"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-0.0680</w:t>
            </w:r>
          </w:p>
        </w:tc>
        <w:tc>
          <w:tcPr>
            <w:tcW w:w="1354" w:type="dxa"/>
            <w:tcBorders>
              <w:top w:val="nil"/>
              <w:left w:val="nil"/>
              <w:bottom w:val="single" w:sz="4" w:space="0" w:color="auto"/>
              <w:right w:val="single" w:sz="4" w:space="0" w:color="auto"/>
            </w:tcBorders>
            <w:noWrap/>
            <w:vAlign w:val="bottom"/>
            <w:hideMark/>
          </w:tcPr>
          <w:p w14:paraId="5D8EC90A"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0.0112</w:t>
            </w:r>
          </w:p>
        </w:tc>
      </w:tr>
      <w:tr w:rsidR="0062279D" w14:paraId="411D5A6F" w14:textId="77777777" w:rsidTr="0014026B">
        <w:trPr>
          <w:trHeight w:val="270"/>
        </w:trPr>
        <w:tc>
          <w:tcPr>
            <w:tcW w:w="1484" w:type="dxa"/>
            <w:tcBorders>
              <w:top w:val="nil"/>
              <w:left w:val="single" w:sz="4" w:space="0" w:color="auto"/>
              <w:bottom w:val="single" w:sz="4" w:space="0" w:color="auto"/>
              <w:right w:val="single" w:sz="4" w:space="0" w:color="auto"/>
            </w:tcBorders>
            <w:noWrap/>
            <w:vAlign w:val="bottom"/>
            <w:hideMark/>
          </w:tcPr>
          <w:p w14:paraId="6759B623" w14:textId="466E723B" w:rsidR="0062279D" w:rsidRDefault="0062279D" w:rsidP="0062279D">
            <w:pPr>
              <w:spacing w:after="0" w:line="240" w:lineRule="auto"/>
              <w:rPr>
                <w:rFonts w:ascii="Calibri" w:eastAsia="Times New Roman" w:hAnsi="Calibri" w:cs="Calibri"/>
                <w:color w:val="000000"/>
                <w:lang w:val="es-CL" w:eastAsia="es-CL"/>
              </w:rPr>
            </w:pPr>
            <m:oMath>
              <m:r>
                <w:rPr>
                  <w:rFonts w:ascii="Cambria Math" w:eastAsia="Times New Roman" w:hAnsi="Cambria Math" w:cs="Calibri"/>
                  <w:color w:val="000000"/>
                  <w:lang w:val="es-CL" w:eastAsia="es-CL"/>
                </w:rPr>
                <m:t>∆</m:t>
              </m:r>
            </m:oMath>
            <w:r>
              <w:rPr>
                <w:rFonts w:ascii="Calibri" w:eastAsia="Times New Roman" w:hAnsi="Calibri" w:cs="Calibri"/>
                <w:color w:val="000000"/>
                <w:lang w:val="es-CL" w:eastAsia="es-CL"/>
              </w:rPr>
              <w:t xml:space="preserve"> TPM </w:t>
            </w:r>
            <m:oMath>
              <m:sSub>
                <m:sSubPr>
                  <m:ctrlPr>
                    <w:rPr>
                      <w:rFonts w:ascii="Cambria Math" w:eastAsia="Times New Roman" w:hAnsi="Cambria Math" w:cs="Calibri"/>
                      <w:iCs/>
                      <w:color w:val="000000"/>
                    </w:rPr>
                  </m:ctrlPr>
                </m:sSubPr>
                <m:e>
                  <m:r>
                    <m:rPr>
                      <m:sty m:val="p"/>
                    </m:rPr>
                    <w:rPr>
                      <w:rFonts w:ascii="Cambria Math" w:eastAsia="Times New Roman" w:hAnsi="Cambria Math" w:cs="Calibri"/>
                      <w:color w:val="000000"/>
                    </w:rPr>
                    <m:t>L</m:t>
                  </m:r>
                </m:e>
                <m:sub>
                  <m:r>
                    <w:rPr>
                      <w:rFonts w:ascii="Cambria Math" w:eastAsia="Times New Roman" w:hAnsi="Cambria Math" w:cs="Calibri"/>
                      <w:color w:val="000000"/>
                    </w:rPr>
                    <m:t>3</m:t>
                  </m:r>
                </m:sub>
              </m:sSub>
            </m:oMath>
          </w:p>
        </w:tc>
        <w:tc>
          <w:tcPr>
            <w:tcW w:w="1392" w:type="dxa"/>
            <w:tcBorders>
              <w:top w:val="nil"/>
              <w:left w:val="nil"/>
              <w:bottom w:val="single" w:sz="4" w:space="0" w:color="auto"/>
              <w:right w:val="single" w:sz="4" w:space="0" w:color="auto"/>
            </w:tcBorders>
            <w:noWrap/>
            <w:vAlign w:val="bottom"/>
            <w:hideMark/>
          </w:tcPr>
          <w:p w14:paraId="77AD39EC"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0.0106</w:t>
            </w:r>
          </w:p>
        </w:tc>
        <w:tc>
          <w:tcPr>
            <w:tcW w:w="1392" w:type="dxa"/>
            <w:tcBorders>
              <w:top w:val="nil"/>
              <w:left w:val="nil"/>
              <w:bottom w:val="single" w:sz="4" w:space="0" w:color="auto"/>
              <w:right w:val="single" w:sz="4" w:space="0" w:color="auto"/>
            </w:tcBorders>
            <w:noWrap/>
            <w:vAlign w:val="bottom"/>
            <w:hideMark/>
          </w:tcPr>
          <w:p w14:paraId="4B941170"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0.0191</w:t>
            </w:r>
          </w:p>
        </w:tc>
        <w:tc>
          <w:tcPr>
            <w:tcW w:w="844" w:type="dxa"/>
            <w:tcBorders>
              <w:top w:val="nil"/>
              <w:left w:val="nil"/>
              <w:bottom w:val="single" w:sz="4" w:space="0" w:color="auto"/>
              <w:right w:val="single" w:sz="4" w:space="0" w:color="auto"/>
            </w:tcBorders>
            <w:noWrap/>
            <w:vAlign w:val="bottom"/>
            <w:hideMark/>
          </w:tcPr>
          <w:p w14:paraId="0A6DD586"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0.55</w:t>
            </w:r>
          </w:p>
        </w:tc>
        <w:tc>
          <w:tcPr>
            <w:tcW w:w="1053" w:type="dxa"/>
            <w:tcBorders>
              <w:top w:val="nil"/>
              <w:left w:val="nil"/>
              <w:bottom w:val="single" w:sz="4" w:space="0" w:color="auto"/>
              <w:right w:val="single" w:sz="4" w:space="0" w:color="auto"/>
            </w:tcBorders>
            <w:noWrap/>
            <w:vAlign w:val="bottom"/>
            <w:hideMark/>
          </w:tcPr>
          <w:p w14:paraId="32A5355F"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0.58</w:t>
            </w:r>
          </w:p>
        </w:tc>
        <w:tc>
          <w:tcPr>
            <w:tcW w:w="1506" w:type="dxa"/>
            <w:tcBorders>
              <w:top w:val="nil"/>
              <w:left w:val="nil"/>
              <w:bottom w:val="single" w:sz="4" w:space="0" w:color="auto"/>
              <w:right w:val="single" w:sz="4" w:space="0" w:color="auto"/>
            </w:tcBorders>
            <w:noWrap/>
            <w:vAlign w:val="bottom"/>
            <w:hideMark/>
          </w:tcPr>
          <w:p w14:paraId="06FD4020"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-0.0271</w:t>
            </w:r>
          </w:p>
        </w:tc>
        <w:tc>
          <w:tcPr>
            <w:tcW w:w="1354" w:type="dxa"/>
            <w:tcBorders>
              <w:top w:val="nil"/>
              <w:left w:val="nil"/>
              <w:bottom w:val="single" w:sz="4" w:space="0" w:color="auto"/>
              <w:right w:val="single" w:sz="4" w:space="0" w:color="auto"/>
            </w:tcBorders>
            <w:noWrap/>
            <w:vAlign w:val="bottom"/>
            <w:hideMark/>
          </w:tcPr>
          <w:p w14:paraId="3C91D175"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0.0483</w:t>
            </w:r>
          </w:p>
        </w:tc>
      </w:tr>
      <w:tr w:rsidR="0062279D" w14:paraId="7305150C" w14:textId="77777777" w:rsidTr="0014026B">
        <w:trPr>
          <w:trHeight w:val="270"/>
        </w:trPr>
        <w:tc>
          <w:tcPr>
            <w:tcW w:w="1484" w:type="dxa"/>
            <w:tcBorders>
              <w:top w:val="nil"/>
              <w:left w:val="single" w:sz="4" w:space="0" w:color="auto"/>
              <w:bottom w:val="single" w:sz="4" w:space="0" w:color="auto"/>
              <w:right w:val="single" w:sz="4" w:space="0" w:color="auto"/>
            </w:tcBorders>
            <w:noWrap/>
            <w:vAlign w:val="bottom"/>
            <w:hideMark/>
          </w:tcPr>
          <w:p w14:paraId="1E232181" w14:textId="5EDD5D57" w:rsidR="0062279D" w:rsidRPr="0062279D" w:rsidRDefault="0062279D" w:rsidP="0062279D">
            <w:pPr>
              <w:spacing w:after="0" w:line="240" w:lineRule="auto"/>
              <w:rPr>
                <w:rFonts w:ascii="Calibri" w:eastAsia="Times New Roman" w:hAnsi="Calibri" w:cs="Calibri"/>
                <w:color w:val="000000"/>
                <w:lang w:val="es-CL" w:eastAsia="es-CL"/>
              </w:rPr>
            </w:pPr>
            <m:oMathPara>
              <m:oMathParaPr>
                <m:jc m:val="left"/>
              </m:oMathParaPr>
              <m:oMath>
                <m:r>
                  <w:rPr>
                    <w:rFonts w:ascii="Cambria Math" w:eastAsia="Times New Roman" w:hAnsi="Cambria Math" w:cs="Calibri"/>
                    <w:color w:val="000000"/>
                    <w:lang w:val="es-CL" w:eastAsia="es-CL"/>
                  </w:rPr>
                  <m:t xml:space="preserve">∆E </m:t>
                </m:r>
                <m:sSub>
                  <m:sSubPr>
                    <m:ctrlPr>
                      <w:rPr>
                        <w:rFonts w:ascii="Cambria Math" w:eastAsia="Times New Roman" w:hAnsi="Cambria Math" w:cs="Calibri"/>
                        <w:iCs/>
                        <w:color w:val="000000"/>
                      </w:rPr>
                    </m:ctrlPr>
                  </m:sSubPr>
                  <m:e>
                    <m:r>
                      <m:rPr>
                        <m:sty m:val="p"/>
                      </m:rPr>
                      <w:rPr>
                        <w:rFonts w:ascii="Cambria Math" w:eastAsia="Times New Roman" w:hAnsi="Cambria Math" w:cs="Calibri"/>
                        <w:color w:val="000000"/>
                      </w:rPr>
                      <m:t>L</m:t>
                    </m:r>
                  </m:e>
                  <m:sub>
                    <m:r>
                      <m:rPr>
                        <m:sty m:val="p"/>
                      </m:rPr>
                      <w:rPr>
                        <w:rFonts w:ascii="Cambria Math" w:eastAsia="Times New Roman" w:hAnsi="Cambria Math" w:cs="Calibri"/>
                        <w:color w:val="000000"/>
                      </w:rPr>
                      <m:t>1</m:t>
                    </m:r>
                  </m:sub>
                </m:sSub>
              </m:oMath>
            </m:oMathPara>
          </w:p>
        </w:tc>
        <w:tc>
          <w:tcPr>
            <w:tcW w:w="1392" w:type="dxa"/>
            <w:tcBorders>
              <w:top w:val="nil"/>
              <w:left w:val="nil"/>
              <w:bottom w:val="single" w:sz="4" w:space="0" w:color="auto"/>
              <w:right w:val="single" w:sz="4" w:space="0" w:color="auto"/>
            </w:tcBorders>
            <w:noWrap/>
            <w:vAlign w:val="bottom"/>
            <w:hideMark/>
          </w:tcPr>
          <w:p w14:paraId="44C908C9"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0.2541</w:t>
            </w:r>
          </w:p>
        </w:tc>
        <w:tc>
          <w:tcPr>
            <w:tcW w:w="1392" w:type="dxa"/>
            <w:tcBorders>
              <w:top w:val="nil"/>
              <w:left w:val="nil"/>
              <w:bottom w:val="single" w:sz="4" w:space="0" w:color="auto"/>
              <w:right w:val="single" w:sz="4" w:space="0" w:color="auto"/>
            </w:tcBorders>
            <w:noWrap/>
            <w:vAlign w:val="bottom"/>
            <w:hideMark/>
          </w:tcPr>
          <w:p w14:paraId="6F62E653"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0.0615</w:t>
            </w:r>
          </w:p>
        </w:tc>
        <w:tc>
          <w:tcPr>
            <w:tcW w:w="844" w:type="dxa"/>
            <w:tcBorders>
              <w:top w:val="nil"/>
              <w:left w:val="nil"/>
              <w:bottom w:val="single" w:sz="4" w:space="0" w:color="auto"/>
              <w:right w:val="single" w:sz="4" w:space="0" w:color="auto"/>
            </w:tcBorders>
            <w:noWrap/>
            <w:vAlign w:val="bottom"/>
            <w:hideMark/>
          </w:tcPr>
          <w:p w14:paraId="402B0027"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4.13</w:t>
            </w:r>
          </w:p>
        </w:tc>
        <w:tc>
          <w:tcPr>
            <w:tcW w:w="1053" w:type="dxa"/>
            <w:tcBorders>
              <w:top w:val="nil"/>
              <w:left w:val="nil"/>
              <w:bottom w:val="single" w:sz="4" w:space="0" w:color="auto"/>
              <w:right w:val="single" w:sz="4" w:space="0" w:color="auto"/>
            </w:tcBorders>
            <w:noWrap/>
            <w:vAlign w:val="bottom"/>
            <w:hideMark/>
          </w:tcPr>
          <w:p w14:paraId="4CB1B7B3"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w:t>
            </w:r>
          </w:p>
        </w:tc>
        <w:tc>
          <w:tcPr>
            <w:tcW w:w="1506" w:type="dxa"/>
            <w:tcBorders>
              <w:top w:val="nil"/>
              <w:left w:val="nil"/>
              <w:bottom w:val="single" w:sz="4" w:space="0" w:color="auto"/>
              <w:right w:val="single" w:sz="4" w:space="0" w:color="auto"/>
            </w:tcBorders>
            <w:noWrap/>
            <w:vAlign w:val="bottom"/>
            <w:hideMark/>
          </w:tcPr>
          <w:p w14:paraId="58E13E92"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0.1329</w:t>
            </w:r>
          </w:p>
        </w:tc>
        <w:tc>
          <w:tcPr>
            <w:tcW w:w="1354" w:type="dxa"/>
            <w:tcBorders>
              <w:top w:val="nil"/>
              <w:left w:val="nil"/>
              <w:bottom w:val="single" w:sz="4" w:space="0" w:color="auto"/>
              <w:right w:val="single" w:sz="4" w:space="0" w:color="auto"/>
            </w:tcBorders>
            <w:noWrap/>
            <w:vAlign w:val="bottom"/>
            <w:hideMark/>
          </w:tcPr>
          <w:p w14:paraId="542A3A22"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0.3752</w:t>
            </w:r>
          </w:p>
        </w:tc>
      </w:tr>
      <w:tr w:rsidR="0062279D" w14:paraId="488257C7" w14:textId="77777777" w:rsidTr="0014026B">
        <w:trPr>
          <w:trHeight w:val="270"/>
        </w:trPr>
        <w:tc>
          <w:tcPr>
            <w:tcW w:w="1484" w:type="dxa"/>
            <w:tcBorders>
              <w:top w:val="nil"/>
              <w:left w:val="single" w:sz="4" w:space="0" w:color="auto"/>
              <w:bottom w:val="single" w:sz="4" w:space="0" w:color="auto"/>
              <w:right w:val="single" w:sz="4" w:space="0" w:color="auto"/>
            </w:tcBorders>
            <w:noWrap/>
            <w:vAlign w:val="bottom"/>
            <w:hideMark/>
          </w:tcPr>
          <w:p w14:paraId="25056060" w14:textId="23E6DDBE" w:rsidR="0062279D" w:rsidRPr="0062279D" w:rsidRDefault="0062279D" w:rsidP="0062279D">
            <w:pPr>
              <w:spacing w:after="0" w:line="240" w:lineRule="auto"/>
              <w:rPr>
                <w:rFonts w:ascii="Calibri" w:eastAsia="Times New Roman" w:hAnsi="Calibri" w:cs="Calibri"/>
                <w:color w:val="000000"/>
                <w:lang w:val="es-CL" w:eastAsia="es-CL"/>
              </w:rPr>
            </w:pPr>
            <m:oMathPara>
              <m:oMathParaPr>
                <m:jc m:val="left"/>
              </m:oMathParaPr>
              <m:oMath>
                <m:r>
                  <w:rPr>
                    <w:rFonts w:ascii="Cambria Math" w:eastAsia="Times New Roman" w:hAnsi="Cambria Math" w:cs="Calibri"/>
                    <w:color w:val="000000"/>
                    <w:lang w:val="es-CL" w:eastAsia="es-CL"/>
                  </w:rPr>
                  <m:t xml:space="preserve">∆E </m:t>
                </m:r>
                <m:sSub>
                  <m:sSubPr>
                    <m:ctrlPr>
                      <w:rPr>
                        <w:rFonts w:ascii="Cambria Math" w:eastAsia="Times New Roman" w:hAnsi="Cambria Math" w:cs="Calibri"/>
                        <w:iCs/>
                        <w:color w:val="000000"/>
                      </w:rPr>
                    </m:ctrlPr>
                  </m:sSubPr>
                  <m:e>
                    <m:r>
                      <m:rPr>
                        <m:sty m:val="p"/>
                      </m:rPr>
                      <w:rPr>
                        <w:rFonts w:ascii="Cambria Math" w:eastAsia="Times New Roman" w:hAnsi="Cambria Math" w:cs="Calibri"/>
                        <w:color w:val="000000"/>
                      </w:rPr>
                      <m:t>L</m:t>
                    </m:r>
                  </m:e>
                  <m:sub>
                    <m:r>
                      <w:rPr>
                        <w:rFonts w:ascii="Cambria Math" w:eastAsia="Times New Roman" w:hAnsi="Cambria Math" w:cs="Calibri"/>
                        <w:color w:val="000000"/>
                      </w:rPr>
                      <m:t>2</m:t>
                    </m:r>
                  </m:sub>
                </m:sSub>
              </m:oMath>
            </m:oMathPara>
          </w:p>
        </w:tc>
        <w:tc>
          <w:tcPr>
            <w:tcW w:w="1392" w:type="dxa"/>
            <w:tcBorders>
              <w:top w:val="nil"/>
              <w:left w:val="nil"/>
              <w:bottom w:val="single" w:sz="4" w:space="0" w:color="auto"/>
              <w:right w:val="single" w:sz="4" w:space="0" w:color="auto"/>
            </w:tcBorders>
            <w:noWrap/>
            <w:vAlign w:val="bottom"/>
            <w:hideMark/>
          </w:tcPr>
          <w:p w14:paraId="5A4F15D2"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-0.0511</w:t>
            </w:r>
          </w:p>
        </w:tc>
        <w:tc>
          <w:tcPr>
            <w:tcW w:w="1392" w:type="dxa"/>
            <w:tcBorders>
              <w:top w:val="nil"/>
              <w:left w:val="nil"/>
              <w:bottom w:val="single" w:sz="4" w:space="0" w:color="auto"/>
              <w:right w:val="single" w:sz="4" w:space="0" w:color="auto"/>
            </w:tcBorders>
            <w:noWrap/>
            <w:vAlign w:val="bottom"/>
            <w:hideMark/>
          </w:tcPr>
          <w:p w14:paraId="2704F60D"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0.0575</w:t>
            </w:r>
          </w:p>
        </w:tc>
        <w:tc>
          <w:tcPr>
            <w:tcW w:w="844" w:type="dxa"/>
            <w:tcBorders>
              <w:top w:val="nil"/>
              <w:left w:val="nil"/>
              <w:bottom w:val="single" w:sz="4" w:space="0" w:color="auto"/>
              <w:right w:val="single" w:sz="4" w:space="0" w:color="auto"/>
            </w:tcBorders>
            <w:noWrap/>
            <w:vAlign w:val="bottom"/>
            <w:hideMark/>
          </w:tcPr>
          <w:p w14:paraId="0460259F"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-0.89</w:t>
            </w:r>
          </w:p>
        </w:tc>
        <w:tc>
          <w:tcPr>
            <w:tcW w:w="1053" w:type="dxa"/>
            <w:tcBorders>
              <w:top w:val="nil"/>
              <w:left w:val="nil"/>
              <w:bottom w:val="single" w:sz="4" w:space="0" w:color="auto"/>
              <w:right w:val="single" w:sz="4" w:space="0" w:color="auto"/>
            </w:tcBorders>
            <w:noWrap/>
            <w:vAlign w:val="bottom"/>
            <w:hideMark/>
          </w:tcPr>
          <w:p w14:paraId="778FF084"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0.375</w:t>
            </w:r>
          </w:p>
        </w:tc>
        <w:tc>
          <w:tcPr>
            <w:tcW w:w="1506" w:type="dxa"/>
            <w:tcBorders>
              <w:top w:val="nil"/>
              <w:left w:val="nil"/>
              <w:bottom w:val="single" w:sz="4" w:space="0" w:color="auto"/>
              <w:right w:val="single" w:sz="4" w:space="0" w:color="auto"/>
            </w:tcBorders>
            <w:noWrap/>
            <w:vAlign w:val="bottom"/>
            <w:hideMark/>
          </w:tcPr>
          <w:p w14:paraId="680AFB27"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-0.1643</w:t>
            </w:r>
          </w:p>
        </w:tc>
        <w:tc>
          <w:tcPr>
            <w:tcW w:w="1354" w:type="dxa"/>
            <w:tcBorders>
              <w:top w:val="nil"/>
              <w:left w:val="nil"/>
              <w:bottom w:val="single" w:sz="4" w:space="0" w:color="auto"/>
              <w:right w:val="single" w:sz="4" w:space="0" w:color="auto"/>
            </w:tcBorders>
            <w:noWrap/>
            <w:vAlign w:val="bottom"/>
            <w:hideMark/>
          </w:tcPr>
          <w:p w14:paraId="0851E31C"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0.0622</w:t>
            </w:r>
          </w:p>
        </w:tc>
      </w:tr>
      <w:tr w:rsidR="0062279D" w14:paraId="2652BFF7" w14:textId="77777777" w:rsidTr="0014026B">
        <w:trPr>
          <w:trHeight w:val="270"/>
        </w:trPr>
        <w:tc>
          <w:tcPr>
            <w:tcW w:w="1484" w:type="dxa"/>
            <w:tcBorders>
              <w:top w:val="nil"/>
              <w:left w:val="single" w:sz="4" w:space="0" w:color="auto"/>
              <w:bottom w:val="single" w:sz="4" w:space="0" w:color="auto"/>
              <w:right w:val="single" w:sz="4" w:space="0" w:color="auto"/>
            </w:tcBorders>
            <w:noWrap/>
            <w:vAlign w:val="bottom"/>
            <w:hideMark/>
          </w:tcPr>
          <w:p w14:paraId="4B6E4662" w14:textId="1CBB0EC5" w:rsidR="0062279D" w:rsidRPr="0062279D" w:rsidRDefault="0062279D" w:rsidP="0062279D">
            <w:pPr>
              <w:spacing w:after="0" w:line="240" w:lineRule="auto"/>
              <w:rPr>
                <w:rFonts w:ascii="Calibri" w:eastAsia="Times New Roman" w:hAnsi="Calibri" w:cs="Calibri"/>
                <w:color w:val="000000"/>
                <w:lang w:val="es-CL" w:eastAsia="es-CL"/>
              </w:rPr>
            </w:pPr>
            <m:oMathPara>
              <m:oMathParaPr>
                <m:jc m:val="left"/>
              </m:oMathParaPr>
              <m:oMath>
                <m:r>
                  <w:rPr>
                    <w:rFonts w:ascii="Cambria Math" w:eastAsia="Times New Roman" w:hAnsi="Cambria Math" w:cs="Calibri"/>
                    <w:color w:val="000000"/>
                    <w:lang w:val="es-CL" w:eastAsia="es-CL"/>
                  </w:rPr>
                  <m:t xml:space="preserve">∆E </m:t>
                </m:r>
                <m:sSub>
                  <m:sSubPr>
                    <m:ctrlPr>
                      <w:rPr>
                        <w:rFonts w:ascii="Cambria Math" w:eastAsia="Times New Roman" w:hAnsi="Cambria Math" w:cs="Calibri"/>
                        <w:iCs/>
                        <w:color w:val="000000"/>
                      </w:rPr>
                    </m:ctrlPr>
                  </m:sSubPr>
                  <m:e>
                    <m:r>
                      <m:rPr>
                        <m:sty m:val="p"/>
                      </m:rPr>
                      <w:rPr>
                        <w:rFonts w:ascii="Cambria Math" w:eastAsia="Times New Roman" w:hAnsi="Cambria Math" w:cs="Calibri"/>
                        <w:color w:val="000000"/>
                      </w:rPr>
                      <m:t>L</m:t>
                    </m:r>
                  </m:e>
                  <m:sub>
                    <m:r>
                      <w:rPr>
                        <w:rFonts w:ascii="Cambria Math" w:eastAsia="Times New Roman" w:hAnsi="Cambria Math" w:cs="Calibri"/>
                        <w:color w:val="000000"/>
                      </w:rPr>
                      <m:t>3</m:t>
                    </m:r>
                  </m:sub>
                </m:sSub>
              </m:oMath>
            </m:oMathPara>
          </w:p>
        </w:tc>
        <w:tc>
          <w:tcPr>
            <w:tcW w:w="1392" w:type="dxa"/>
            <w:tcBorders>
              <w:top w:val="nil"/>
              <w:left w:val="nil"/>
              <w:bottom w:val="single" w:sz="4" w:space="0" w:color="auto"/>
              <w:right w:val="single" w:sz="4" w:space="0" w:color="auto"/>
            </w:tcBorders>
            <w:noWrap/>
            <w:vAlign w:val="bottom"/>
            <w:hideMark/>
          </w:tcPr>
          <w:p w14:paraId="608EF651"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-0.0257</w:t>
            </w:r>
          </w:p>
        </w:tc>
        <w:tc>
          <w:tcPr>
            <w:tcW w:w="1392" w:type="dxa"/>
            <w:tcBorders>
              <w:top w:val="nil"/>
              <w:left w:val="nil"/>
              <w:bottom w:val="single" w:sz="4" w:space="0" w:color="auto"/>
              <w:right w:val="single" w:sz="4" w:space="0" w:color="auto"/>
            </w:tcBorders>
            <w:noWrap/>
            <w:vAlign w:val="bottom"/>
            <w:hideMark/>
          </w:tcPr>
          <w:p w14:paraId="678C5DA9"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0.0677</w:t>
            </w:r>
          </w:p>
        </w:tc>
        <w:tc>
          <w:tcPr>
            <w:tcW w:w="844" w:type="dxa"/>
            <w:tcBorders>
              <w:top w:val="nil"/>
              <w:left w:val="nil"/>
              <w:bottom w:val="single" w:sz="4" w:space="0" w:color="auto"/>
              <w:right w:val="single" w:sz="4" w:space="0" w:color="auto"/>
            </w:tcBorders>
            <w:noWrap/>
            <w:vAlign w:val="bottom"/>
            <w:hideMark/>
          </w:tcPr>
          <w:p w14:paraId="0EF20D3D"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-0.38</w:t>
            </w:r>
          </w:p>
        </w:tc>
        <w:tc>
          <w:tcPr>
            <w:tcW w:w="1053" w:type="dxa"/>
            <w:tcBorders>
              <w:top w:val="nil"/>
              <w:left w:val="nil"/>
              <w:bottom w:val="single" w:sz="4" w:space="0" w:color="auto"/>
              <w:right w:val="single" w:sz="4" w:space="0" w:color="auto"/>
            </w:tcBorders>
            <w:noWrap/>
            <w:vAlign w:val="bottom"/>
            <w:hideMark/>
          </w:tcPr>
          <w:p w14:paraId="76F2A5C3"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0.705</w:t>
            </w:r>
          </w:p>
        </w:tc>
        <w:tc>
          <w:tcPr>
            <w:tcW w:w="1506" w:type="dxa"/>
            <w:tcBorders>
              <w:top w:val="nil"/>
              <w:left w:val="nil"/>
              <w:bottom w:val="single" w:sz="4" w:space="0" w:color="auto"/>
              <w:right w:val="single" w:sz="4" w:space="0" w:color="auto"/>
            </w:tcBorders>
            <w:noWrap/>
            <w:vAlign w:val="bottom"/>
            <w:hideMark/>
          </w:tcPr>
          <w:p w14:paraId="55CE2A6A"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-0.1592</w:t>
            </w:r>
          </w:p>
        </w:tc>
        <w:tc>
          <w:tcPr>
            <w:tcW w:w="1354" w:type="dxa"/>
            <w:tcBorders>
              <w:top w:val="nil"/>
              <w:left w:val="nil"/>
              <w:bottom w:val="single" w:sz="4" w:space="0" w:color="auto"/>
              <w:right w:val="single" w:sz="4" w:space="0" w:color="auto"/>
            </w:tcBorders>
            <w:noWrap/>
            <w:vAlign w:val="bottom"/>
            <w:hideMark/>
          </w:tcPr>
          <w:p w14:paraId="613E1905" w14:textId="77777777" w:rsidR="0062279D" w:rsidRDefault="0062279D" w:rsidP="0062279D">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0.1077</w:t>
            </w:r>
          </w:p>
        </w:tc>
      </w:tr>
      <w:tr w:rsidR="0014026B" w14:paraId="5E3C57C8" w14:textId="77777777" w:rsidTr="0014026B">
        <w:trPr>
          <w:trHeight w:val="270"/>
        </w:trPr>
        <w:tc>
          <w:tcPr>
            <w:tcW w:w="1484" w:type="dxa"/>
            <w:tcBorders>
              <w:top w:val="nil"/>
              <w:left w:val="single" w:sz="4" w:space="0" w:color="auto"/>
              <w:bottom w:val="single" w:sz="4" w:space="0" w:color="auto"/>
              <w:right w:val="single" w:sz="4" w:space="0" w:color="auto"/>
            </w:tcBorders>
            <w:noWrap/>
            <w:vAlign w:val="bottom"/>
            <w:hideMark/>
          </w:tcPr>
          <w:p w14:paraId="4F9B36D4" w14:textId="77777777" w:rsidR="0014026B" w:rsidRDefault="0062217F">
            <w:pPr>
              <w:spacing w:after="0" w:line="240" w:lineRule="auto"/>
              <w:rPr>
                <w:rFonts w:ascii="Calibri" w:eastAsia="Times New Roman" w:hAnsi="Calibri" w:cs="Calibri"/>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γ</m:t>
                    </m:r>
                  </m:e>
                  <m:sub>
                    <m:r>
                      <w:rPr>
                        <w:rFonts w:ascii="Cambria Math" w:eastAsiaTheme="minorEastAsia" w:hAnsi="Cambria Math"/>
                        <w:sz w:val="24"/>
                        <w:szCs w:val="24"/>
                        <w:lang w:val="es-CL"/>
                      </w:rPr>
                      <m:t>0</m:t>
                    </m:r>
                  </m:sub>
                </m:sSub>
              </m:oMath>
            </m:oMathPara>
          </w:p>
        </w:tc>
        <w:tc>
          <w:tcPr>
            <w:tcW w:w="1392" w:type="dxa"/>
            <w:tcBorders>
              <w:top w:val="nil"/>
              <w:left w:val="nil"/>
              <w:bottom w:val="single" w:sz="4" w:space="0" w:color="auto"/>
              <w:right w:val="single" w:sz="4" w:space="0" w:color="auto"/>
            </w:tcBorders>
            <w:noWrap/>
            <w:vAlign w:val="bottom"/>
            <w:hideMark/>
          </w:tcPr>
          <w:p w14:paraId="10934387"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0.0033</w:t>
            </w:r>
          </w:p>
        </w:tc>
        <w:tc>
          <w:tcPr>
            <w:tcW w:w="1392" w:type="dxa"/>
            <w:tcBorders>
              <w:top w:val="nil"/>
              <w:left w:val="nil"/>
              <w:bottom w:val="single" w:sz="4" w:space="0" w:color="auto"/>
              <w:right w:val="single" w:sz="4" w:space="0" w:color="auto"/>
            </w:tcBorders>
            <w:noWrap/>
            <w:vAlign w:val="bottom"/>
            <w:hideMark/>
          </w:tcPr>
          <w:p w14:paraId="7C9243B8"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0.0022</w:t>
            </w:r>
          </w:p>
        </w:tc>
        <w:tc>
          <w:tcPr>
            <w:tcW w:w="844" w:type="dxa"/>
            <w:tcBorders>
              <w:top w:val="nil"/>
              <w:left w:val="nil"/>
              <w:bottom w:val="single" w:sz="4" w:space="0" w:color="auto"/>
              <w:right w:val="single" w:sz="4" w:space="0" w:color="auto"/>
            </w:tcBorders>
            <w:noWrap/>
            <w:vAlign w:val="bottom"/>
            <w:hideMark/>
          </w:tcPr>
          <w:p w14:paraId="123CD418"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1.48</w:t>
            </w:r>
          </w:p>
        </w:tc>
        <w:tc>
          <w:tcPr>
            <w:tcW w:w="1053" w:type="dxa"/>
            <w:tcBorders>
              <w:top w:val="nil"/>
              <w:left w:val="nil"/>
              <w:bottom w:val="single" w:sz="4" w:space="0" w:color="auto"/>
              <w:right w:val="single" w:sz="4" w:space="0" w:color="auto"/>
            </w:tcBorders>
            <w:noWrap/>
            <w:vAlign w:val="bottom"/>
            <w:hideMark/>
          </w:tcPr>
          <w:p w14:paraId="42A16613"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0.139</w:t>
            </w:r>
          </w:p>
        </w:tc>
        <w:tc>
          <w:tcPr>
            <w:tcW w:w="1506" w:type="dxa"/>
            <w:tcBorders>
              <w:top w:val="nil"/>
              <w:left w:val="nil"/>
              <w:bottom w:val="single" w:sz="4" w:space="0" w:color="auto"/>
              <w:right w:val="single" w:sz="4" w:space="0" w:color="auto"/>
            </w:tcBorders>
            <w:noWrap/>
            <w:vAlign w:val="bottom"/>
            <w:hideMark/>
          </w:tcPr>
          <w:p w14:paraId="44D5BA13"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-0.0011</w:t>
            </w:r>
          </w:p>
        </w:tc>
        <w:tc>
          <w:tcPr>
            <w:tcW w:w="1354" w:type="dxa"/>
            <w:tcBorders>
              <w:top w:val="nil"/>
              <w:left w:val="nil"/>
              <w:bottom w:val="single" w:sz="4" w:space="0" w:color="auto"/>
              <w:right w:val="single" w:sz="4" w:space="0" w:color="auto"/>
            </w:tcBorders>
            <w:noWrap/>
            <w:vAlign w:val="bottom"/>
            <w:hideMark/>
          </w:tcPr>
          <w:p w14:paraId="56503634" w14:textId="77777777" w:rsidR="0014026B" w:rsidRDefault="0014026B">
            <w:pPr>
              <w:spacing w:after="0" w:line="240" w:lineRule="auto"/>
              <w:jc w:val="right"/>
              <w:rPr>
                <w:rFonts w:ascii="Calibri" w:eastAsia="Times New Roman" w:hAnsi="Calibri" w:cs="Calibri"/>
                <w:color w:val="000000"/>
                <w:lang w:val="es-CL" w:eastAsia="es-CL"/>
              </w:rPr>
            </w:pPr>
            <w:r>
              <w:rPr>
                <w:rFonts w:ascii="Calibri" w:eastAsia="Times New Roman" w:hAnsi="Calibri" w:cs="Calibri"/>
                <w:color w:val="000000"/>
                <w:lang w:val="es-CL" w:eastAsia="es-CL"/>
              </w:rPr>
              <w:t>0.0076</w:t>
            </w:r>
          </w:p>
        </w:tc>
      </w:tr>
    </w:tbl>
    <w:p w14:paraId="4C008D44" w14:textId="5DEA307D" w:rsidR="0014026B" w:rsidRDefault="0014026B" w:rsidP="0014026B">
      <w:pPr>
        <w:jc w:val="both"/>
        <w:rPr>
          <w:sz w:val="24"/>
          <w:szCs w:val="24"/>
          <w:lang w:val="es-CL"/>
        </w:rPr>
      </w:pPr>
    </w:p>
    <w:p w14:paraId="3FCB6919" w14:textId="727CAA42" w:rsidR="003E7F2D" w:rsidRPr="003B6C66" w:rsidRDefault="00756E2B" w:rsidP="0014026B">
      <w:pPr>
        <w:jc w:val="both"/>
        <w:rPr>
          <w:sz w:val="24"/>
          <w:szCs w:val="24"/>
        </w:rPr>
      </w:pPr>
      <w:r w:rsidRPr="003B6C66">
        <w:rPr>
          <w:sz w:val="24"/>
          <w:szCs w:val="24"/>
        </w:rPr>
        <w:t>Additionally, the TPM is also not statistically significant when the GMM method is used (Table A7).</w:t>
      </w:r>
    </w:p>
    <w:p w14:paraId="339C910D" w14:textId="187568EE" w:rsidR="00E3292E" w:rsidRPr="003B6C66" w:rsidRDefault="00E3292E" w:rsidP="0014026B">
      <w:pPr>
        <w:jc w:val="both"/>
        <w:rPr>
          <w:sz w:val="24"/>
          <w:szCs w:val="24"/>
        </w:rPr>
      </w:pPr>
    </w:p>
    <w:p w14:paraId="6B4737B1" w14:textId="26307B36" w:rsidR="00E3292E" w:rsidRPr="003B6C66" w:rsidRDefault="00E3292E" w:rsidP="0014026B">
      <w:pPr>
        <w:jc w:val="both"/>
        <w:rPr>
          <w:sz w:val="24"/>
          <w:szCs w:val="24"/>
        </w:rPr>
      </w:pPr>
    </w:p>
    <w:p w14:paraId="2CF38E7A" w14:textId="16AD9938" w:rsidR="00E3292E" w:rsidRPr="003B6C66" w:rsidRDefault="00E3292E" w:rsidP="0014026B">
      <w:pPr>
        <w:jc w:val="both"/>
        <w:rPr>
          <w:sz w:val="24"/>
          <w:szCs w:val="24"/>
        </w:rPr>
      </w:pPr>
    </w:p>
    <w:p w14:paraId="1CDBA3FB" w14:textId="312E9539" w:rsidR="00E3292E" w:rsidRPr="003B6C66" w:rsidRDefault="00E3292E" w:rsidP="0014026B">
      <w:pPr>
        <w:jc w:val="both"/>
        <w:rPr>
          <w:sz w:val="24"/>
          <w:szCs w:val="24"/>
        </w:rPr>
      </w:pPr>
    </w:p>
    <w:p w14:paraId="631F78A8" w14:textId="4964B3C6" w:rsidR="00E3292E" w:rsidRPr="003B6C66" w:rsidRDefault="00E3292E" w:rsidP="0014026B">
      <w:pPr>
        <w:jc w:val="both"/>
        <w:rPr>
          <w:sz w:val="24"/>
          <w:szCs w:val="24"/>
        </w:rPr>
      </w:pPr>
    </w:p>
    <w:p w14:paraId="37519E9A" w14:textId="513E5475" w:rsidR="00E3292E" w:rsidRPr="003B6C66" w:rsidRDefault="00E3292E" w:rsidP="0014026B">
      <w:pPr>
        <w:jc w:val="both"/>
        <w:rPr>
          <w:sz w:val="24"/>
          <w:szCs w:val="24"/>
        </w:rPr>
      </w:pPr>
    </w:p>
    <w:p w14:paraId="5F3AF687" w14:textId="741073B4" w:rsidR="00E3292E" w:rsidRPr="003B6C66" w:rsidRDefault="00E3292E" w:rsidP="0014026B">
      <w:pPr>
        <w:jc w:val="both"/>
        <w:rPr>
          <w:sz w:val="24"/>
          <w:szCs w:val="24"/>
        </w:rPr>
      </w:pPr>
    </w:p>
    <w:p w14:paraId="3633B85A" w14:textId="77777777" w:rsidR="00E3292E" w:rsidRPr="003B6C66" w:rsidRDefault="00E3292E" w:rsidP="0014026B">
      <w:pPr>
        <w:jc w:val="both"/>
        <w:rPr>
          <w:sz w:val="24"/>
          <w:szCs w:val="24"/>
        </w:rPr>
      </w:pPr>
    </w:p>
    <w:p w14:paraId="51CC6D0E" w14:textId="6C58AA5B" w:rsidR="0014026B" w:rsidRPr="003B6C66" w:rsidRDefault="0014026B" w:rsidP="0014026B">
      <w:pPr>
        <w:jc w:val="both"/>
        <w:rPr>
          <w:rFonts w:eastAsiaTheme="minorEastAsia"/>
          <w:sz w:val="24"/>
          <w:szCs w:val="24"/>
        </w:rPr>
      </w:pPr>
      <w:r w:rsidRPr="003B6C66">
        <w:rPr>
          <w:rFonts w:eastAsiaTheme="minorEastAsia"/>
          <w:b/>
          <w:bCs/>
          <w:sz w:val="24"/>
          <w:szCs w:val="24"/>
        </w:rPr>
        <w:lastRenderedPageBreak/>
        <w:t xml:space="preserve">  Tabla A</w:t>
      </w:r>
      <w:r w:rsidR="00D21A0F" w:rsidRPr="003B6C66">
        <w:rPr>
          <w:rFonts w:eastAsiaTheme="minorEastAsia"/>
          <w:b/>
          <w:bCs/>
          <w:sz w:val="24"/>
          <w:szCs w:val="24"/>
        </w:rPr>
        <w:t>7</w:t>
      </w:r>
      <w:r w:rsidRPr="003B6C66">
        <w:rPr>
          <w:rFonts w:eastAsiaTheme="minorEastAsia"/>
          <w:b/>
          <w:bCs/>
          <w:sz w:val="24"/>
          <w:szCs w:val="24"/>
        </w:rPr>
        <w:t xml:space="preserve">. </w:t>
      </w:r>
      <w:r w:rsidR="008B03DE" w:rsidRPr="003B6C66">
        <w:rPr>
          <w:rFonts w:eastAsiaTheme="minorEastAsia"/>
          <w:b/>
          <w:bCs/>
          <w:sz w:val="24"/>
          <w:szCs w:val="24"/>
        </w:rPr>
        <w:t xml:space="preserve">Estimation by GMM adding the variation of the TPM </w:t>
      </w:r>
    </w:p>
    <w:tbl>
      <w:tblPr>
        <w:tblStyle w:val="Tablanormal1"/>
        <w:tblW w:w="4950" w:type="dxa"/>
        <w:tblLook w:val="04A0" w:firstRow="1" w:lastRow="0" w:firstColumn="1" w:lastColumn="0" w:noHBand="0" w:noVBand="1"/>
      </w:tblPr>
      <w:tblGrid>
        <w:gridCol w:w="3309"/>
        <w:gridCol w:w="1641"/>
      </w:tblGrid>
      <w:tr w:rsidR="0014026B" w14:paraId="622E2B23" w14:textId="77777777" w:rsidTr="0014026B">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3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noWrap/>
            <w:hideMark/>
          </w:tcPr>
          <w:p w14:paraId="2A8080D6" w14:textId="4EB355B1" w:rsidR="0014026B" w:rsidRDefault="0014026B">
            <w:pPr>
              <w:rPr>
                <w:rFonts w:ascii="Calibri" w:eastAsia="Times New Roman" w:hAnsi="Calibri" w:cs="Calibri"/>
                <w:color w:val="000000"/>
              </w:rPr>
            </w:pPr>
            <w:r>
              <w:rPr>
                <w:rFonts w:ascii="Calibri" w:eastAsia="Times New Roman" w:hAnsi="Calibri" w:cs="Calibri"/>
                <w:color w:val="000000"/>
              </w:rPr>
              <w:t>N</w:t>
            </w:r>
            <w:r w:rsidR="00242D49">
              <w:rPr>
                <w:rFonts w:ascii="Calibri" w:eastAsia="Times New Roman" w:hAnsi="Calibri" w:cs="Calibri"/>
                <w:color w:val="000000"/>
              </w:rPr>
              <w:t>umber</w:t>
            </w:r>
            <w:r>
              <w:rPr>
                <w:rFonts w:ascii="Calibri" w:eastAsia="Times New Roman" w:hAnsi="Calibri" w:cs="Calibri"/>
                <w:color w:val="000000"/>
              </w:rPr>
              <w:t xml:space="preserve"> </w:t>
            </w:r>
            <w:r w:rsidR="00242D49">
              <w:rPr>
                <w:rFonts w:ascii="Calibri" w:eastAsia="Times New Roman" w:hAnsi="Calibri" w:cs="Calibri"/>
                <w:color w:val="000000"/>
              </w:rPr>
              <w:t>of</w:t>
            </w:r>
            <w:r>
              <w:rPr>
                <w:rFonts w:ascii="Calibri" w:eastAsia="Times New Roman" w:hAnsi="Calibri" w:cs="Calibri"/>
                <w:color w:val="000000"/>
              </w:rPr>
              <w:t xml:space="preserve"> observa</w:t>
            </w:r>
            <w:r w:rsidR="00242D49">
              <w:rPr>
                <w:rFonts w:ascii="Calibri" w:eastAsia="Times New Roman" w:hAnsi="Calibri" w:cs="Calibri"/>
                <w:color w:val="000000"/>
              </w:rPr>
              <w:t>tions</w:t>
            </w:r>
          </w:p>
        </w:tc>
        <w:tc>
          <w:tcPr>
            <w:tcW w:w="16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noWrap/>
            <w:hideMark/>
          </w:tcPr>
          <w:p w14:paraId="1EDB67E9" w14:textId="77777777" w:rsidR="0014026B" w:rsidRDefault="0014026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b w:val="0"/>
                <w:bCs w:val="0"/>
                <w:color w:val="000000"/>
              </w:rPr>
              <w:t>261</w:t>
            </w:r>
          </w:p>
        </w:tc>
      </w:tr>
      <w:tr w:rsidR="0014026B" w14:paraId="0A16DD44" w14:textId="77777777" w:rsidTr="0014026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3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noWrap/>
            <w:hideMark/>
          </w:tcPr>
          <w:p w14:paraId="2039C139" w14:textId="77777777" w:rsidR="0014026B" w:rsidRDefault="0014026B">
            <w:pPr>
              <w:rPr>
                <w:rFonts w:ascii="Calibri" w:eastAsia="Times New Roman" w:hAnsi="Calibri" w:cs="Calibri"/>
                <w:color w:val="000000"/>
              </w:rPr>
            </w:pPr>
            <w:r>
              <w:rPr>
                <w:rFonts w:ascii="Calibri" w:eastAsia="Times New Roman" w:hAnsi="Calibri" w:cs="Calibri"/>
                <w:color w:val="000000"/>
              </w:rPr>
              <w:t>Wald chi2(14)</w:t>
            </w:r>
          </w:p>
        </w:tc>
        <w:tc>
          <w:tcPr>
            <w:tcW w:w="16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noWrap/>
            <w:hideMark/>
          </w:tcPr>
          <w:p w14:paraId="62B66393" w14:textId="77777777" w:rsidR="0014026B" w:rsidRDefault="0014026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206.86</w:t>
            </w:r>
          </w:p>
        </w:tc>
      </w:tr>
      <w:tr w:rsidR="0014026B" w14:paraId="61A2E265" w14:textId="77777777" w:rsidTr="0014026B">
        <w:trPr>
          <w:trHeight w:val="296"/>
        </w:trPr>
        <w:tc>
          <w:tcPr>
            <w:cnfStyle w:val="001000000000" w:firstRow="0" w:lastRow="0" w:firstColumn="1" w:lastColumn="0" w:oddVBand="0" w:evenVBand="0" w:oddHBand="0" w:evenHBand="0" w:firstRowFirstColumn="0" w:firstRowLastColumn="0" w:lastRowFirstColumn="0" w:lastRowLastColumn="0"/>
            <w:tcW w:w="33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noWrap/>
            <w:hideMark/>
          </w:tcPr>
          <w:p w14:paraId="2A332B88" w14:textId="77777777" w:rsidR="0014026B" w:rsidRDefault="0014026B">
            <w:pPr>
              <w:rPr>
                <w:rFonts w:ascii="Calibri" w:eastAsia="Times New Roman" w:hAnsi="Calibri" w:cs="Calibri"/>
                <w:color w:val="000000"/>
              </w:rPr>
            </w:pPr>
            <w:r>
              <w:rPr>
                <w:rFonts w:ascii="Calibri" w:eastAsia="Times New Roman" w:hAnsi="Calibri" w:cs="Calibri"/>
                <w:color w:val="000000"/>
              </w:rPr>
              <w:t>Prob &gt; chi2</w:t>
            </w:r>
          </w:p>
        </w:tc>
        <w:tc>
          <w:tcPr>
            <w:tcW w:w="16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noWrap/>
            <w:hideMark/>
          </w:tcPr>
          <w:p w14:paraId="0819D23B" w14:textId="77777777" w:rsidR="0014026B" w:rsidRDefault="0014026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0.0000</w:t>
            </w:r>
          </w:p>
        </w:tc>
      </w:tr>
      <w:tr w:rsidR="0014026B" w14:paraId="2E64D0A6" w14:textId="77777777" w:rsidTr="0014026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3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noWrap/>
            <w:hideMark/>
          </w:tcPr>
          <w:p w14:paraId="40D4290A" w14:textId="05746DDE" w:rsidR="0014026B" w:rsidRDefault="0014026B">
            <w:pPr>
              <w:rPr>
                <w:rFonts w:ascii="Calibri" w:eastAsia="Times New Roman" w:hAnsi="Calibri" w:cs="Calibri"/>
                <w:color w:val="000000"/>
              </w:rPr>
            </w:pPr>
            <w:r>
              <w:rPr>
                <w:rFonts w:ascii="Calibri" w:eastAsia="Times New Roman" w:hAnsi="Calibri" w:cs="Calibri"/>
                <w:color w:val="000000"/>
              </w:rPr>
              <w:t>R-</w:t>
            </w:r>
            <w:r w:rsidR="00242D49">
              <w:rPr>
                <w:rFonts w:ascii="Calibri" w:eastAsia="Times New Roman" w:hAnsi="Calibri" w:cs="Calibri"/>
                <w:color w:val="000000"/>
              </w:rPr>
              <w:t>squared</w:t>
            </w:r>
          </w:p>
        </w:tc>
        <w:tc>
          <w:tcPr>
            <w:tcW w:w="16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noWrap/>
            <w:hideMark/>
          </w:tcPr>
          <w:p w14:paraId="26373123" w14:textId="77777777" w:rsidR="0014026B" w:rsidRDefault="0014026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0.2880</w:t>
            </w:r>
          </w:p>
        </w:tc>
      </w:tr>
    </w:tbl>
    <w:p w14:paraId="3F928C57" w14:textId="77777777" w:rsidR="00B530D8" w:rsidRDefault="00B530D8" w:rsidP="0014026B">
      <w:pPr>
        <w:jc w:val="both"/>
        <w:rPr>
          <w:rFonts w:eastAsiaTheme="minorEastAsia"/>
          <w:sz w:val="24"/>
          <w:szCs w:val="24"/>
          <w:lang w:val="es-CL"/>
        </w:rPr>
      </w:pPr>
    </w:p>
    <w:tbl>
      <w:tblPr>
        <w:tblW w:w="8972" w:type="dxa"/>
        <w:tblCellMar>
          <w:left w:w="70" w:type="dxa"/>
          <w:right w:w="70" w:type="dxa"/>
        </w:tblCellMar>
        <w:tblLook w:val="04A0" w:firstRow="1" w:lastRow="0" w:firstColumn="1" w:lastColumn="0" w:noHBand="0" w:noVBand="1"/>
      </w:tblPr>
      <w:tblGrid>
        <w:gridCol w:w="1425"/>
        <w:gridCol w:w="1335"/>
        <w:gridCol w:w="1335"/>
        <w:gridCol w:w="987"/>
        <w:gridCol w:w="897"/>
        <w:gridCol w:w="1646"/>
        <w:gridCol w:w="1347"/>
      </w:tblGrid>
      <w:tr w:rsidR="0014026B" w14:paraId="411B0706" w14:textId="77777777" w:rsidTr="0014026B">
        <w:trPr>
          <w:trHeight w:val="286"/>
        </w:trPr>
        <w:tc>
          <w:tcPr>
            <w:tcW w:w="142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1CBB37E0" w14:textId="66149B57" w:rsidR="0014026B" w:rsidRDefault="0014026B">
            <w:pPr>
              <w:spacing w:after="0" w:line="240" w:lineRule="auto"/>
              <w:rPr>
                <w:rFonts w:ascii="Calibri" w:eastAsia="Times New Roman" w:hAnsi="Calibri" w:cs="Times New Roman"/>
                <w:color w:val="000000"/>
                <w:lang w:val="es-CL" w:eastAsia="es-CL"/>
              </w:rPr>
            </w:pPr>
            <w:r>
              <w:rPr>
                <w:rFonts w:ascii="Calibri" w:eastAsia="Times New Roman" w:hAnsi="Calibri" w:cs="Calibri"/>
                <w:b/>
                <w:bCs/>
                <w:color w:val="000000"/>
              </w:rPr>
              <w:t>Chile</w:t>
            </w:r>
            <w:r w:rsidR="00CE017A">
              <w:rPr>
                <w:rFonts w:ascii="Calibri" w:eastAsia="Times New Roman" w:hAnsi="Calibri" w:cs="Calibri"/>
                <w:b/>
                <w:bCs/>
                <w:color w:val="000000"/>
              </w:rPr>
              <w:t xml:space="preserve"> Inf.</w:t>
            </w:r>
          </w:p>
        </w:tc>
        <w:tc>
          <w:tcPr>
            <w:tcW w:w="1335" w:type="dxa"/>
            <w:tcBorders>
              <w:top w:val="single" w:sz="4" w:space="0" w:color="auto"/>
              <w:left w:val="nil"/>
              <w:bottom w:val="single" w:sz="4" w:space="0" w:color="auto"/>
              <w:right w:val="single" w:sz="4" w:space="0" w:color="auto"/>
            </w:tcBorders>
            <w:shd w:val="clear" w:color="auto" w:fill="D9E2F3" w:themeFill="accent1" w:themeFillTint="33"/>
            <w:noWrap/>
            <w:hideMark/>
          </w:tcPr>
          <w:p w14:paraId="555B3EF3" w14:textId="4F15D717" w:rsidR="0014026B" w:rsidRDefault="0014026B">
            <w:pPr>
              <w:spacing w:after="0" w:line="240" w:lineRule="auto"/>
              <w:rPr>
                <w:rFonts w:ascii="Calibri" w:eastAsia="Times New Roman" w:hAnsi="Calibri" w:cs="Times New Roman"/>
                <w:color w:val="000000"/>
                <w:lang w:val="es-CL" w:eastAsia="es-CL"/>
              </w:rPr>
            </w:pPr>
            <w:r>
              <w:rPr>
                <w:rFonts w:ascii="Calibri" w:eastAsia="Times New Roman" w:hAnsi="Calibri" w:cs="Calibri"/>
                <w:b/>
                <w:bCs/>
                <w:color w:val="000000"/>
              </w:rPr>
              <w:t>Coef</w:t>
            </w:r>
            <w:r w:rsidR="00CE017A">
              <w:rPr>
                <w:rFonts w:ascii="Calibri" w:eastAsia="Times New Roman" w:hAnsi="Calibri" w:cs="Calibri"/>
                <w:b/>
                <w:bCs/>
                <w:color w:val="000000"/>
              </w:rPr>
              <w:t>f</w:t>
            </w:r>
            <w:r>
              <w:rPr>
                <w:rFonts w:ascii="Calibri" w:eastAsia="Times New Roman" w:hAnsi="Calibri" w:cs="Calibri"/>
                <w:b/>
                <w:bCs/>
                <w:color w:val="000000"/>
              </w:rPr>
              <w:t>icient</w:t>
            </w:r>
          </w:p>
        </w:tc>
        <w:tc>
          <w:tcPr>
            <w:tcW w:w="1335" w:type="dxa"/>
            <w:tcBorders>
              <w:top w:val="single" w:sz="4" w:space="0" w:color="auto"/>
              <w:left w:val="nil"/>
              <w:bottom w:val="single" w:sz="4" w:space="0" w:color="auto"/>
              <w:right w:val="single" w:sz="4" w:space="0" w:color="auto"/>
            </w:tcBorders>
            <w:shd w:val="clear" w:color="auto" w:fill="D9E2F3" w:themeFill="accent1" w:themeFillTint="33"/>
            <w:noWrap/>
            <w:hideMark/>
          </w:tcPr>
          <w:p w14:paraId="288AE16C" w14:textId="0DCE11F3" w:rsidR="0014026B" w:rsidRDefault="00356F06" w:rsidP="00356F06">
            <w:pPr>
              <w:spacing w:after="0" w:line="240" w:lineRule="auto"/>
              <w:jc w:val="center"/>
              <w:rPr>
                <w:rFonts w:ascii="Calibri" w:eastAsia="Times New Roman" w:hAnsi="Calibri" w:cs="Times New Roman"/>
                <w:color w:val="000000"/>
                <w:lang w:val="es-CL" w:eastAsia="es-CL"/>
              </w:rPr>
            </w:pPr>
            <w:r w:rsidRPr="008E7809">
              <w:rPr>
                <w:rFonts w:ascii="Calibri" w:eastAsia="Times New Roman" w:hAnsi="Calibri" w:cs="Calibri"/>
                <w:b/>
                <w:bCs/>
                <w:color w:val="000000"/>
              </w:rPr>
              <w:t>Robust</w:t>
            </w:r>
            <w:r>
              <w:rPr>
                <w:rFonts w:ascii="Calibri" w:eastAsia="Times New Roman" w:hAnsi="Calibri" w:cs="Calibri"/>
                <w:b/>
                <w:bCs/>
                <w:color w:val="000000"/>
              </w:rPr>
              <w:t xml:space="preserve"> Std. Err.</w:t>
            </w:r>
          </w:p>
        </w:tc>
        <w:tc>
          <w:tcPr>
            <w:tcW w:w="987" w:type="dxa"/>
            <w:tcBorders>
              <w:top w:val="single" w:sz="4" w:space="0" w:color="auto"/>
              <w:left w:val="nil"/>
              <w:bottom w:val="single" w:sz="4" w:space="0" w:color="auto"/>
              <w:right w:val="single" w:sz="4" w:space="0" w:color="auto"/>
            </w:tcBorders>
            <w:shd w:val="clear" w:color="auto" w:fill="D9E2F3" w:themeFill="accent1" w:themeFillTint="33"/>
            <w:noWrap/>
            <w:hideMark/>
          </w:tcPr>
          <w:p w14:paraId="72F6AA59" w14:textId="77777777" w:rsidR="0014026B" w:rsidRDefault="0014026B" w:rsidP="00C976DF">
            <w:pPr>
              <w:spacing w:after="0" w:line="240" w:lineRule="auto"/>
              <w:jc w:val="center"/>
              <w:rPr>
                <w:rFonts w:ascii="Calibri" w:eastAsia="Times New Roman" w:hAnsi="Calibri" w:cs="Times New Roman"/>
                <w:color w:val="000000"/>
                <w:lang w:val="es-CL" w:eastAsia="es-CL"/>
              </w:rPr>
            </w:pPr>
            <w:r>
              <w:rPr>
                <w:rFonts w:ascii="Calibri" w:eastAsia="Times New Roman" w:hAnsi="Calibri" w:cs="Calibri"/>
                <w:b/>
                <w:bCs/>
                <w:color w:val="000000"/>
              </w:rPr>
              <w:t>z</w:t>
            </w:r>
          </w:p>
        </w:tc>
        <w:tc>
          <w:tcPr>
            <w:tcW w:w="897" w:type="dxa"/>
            <w:tcBorders>
              <w:top w:val="single" w:sz="4" w:space="0" w:color="auto"/>
              <w:left w:val="nil"/>
              <w:bottom w:val="single" w:sz="4" w:space="0" w:color="auto"/>
              <w:right w:val="single" w:sz="4" w:space="0" w:color="auto"/>
            </w:tcBorders>
            <w:shd w:val="clear" w:color="auto" w:fill="D9E2F3" w:themeFill="accent1" w:themeFillTint="33"/>
            <w:noWrap/>
            <w:hideMark/>
          </w:tcPr>
          <w:p w14:paraId="7BF2086C" w14:textId="77777777" w:rsidR="0014026B" w:rsidRDefault="0014026B">
            <w:pPr>
              <w:spacing w:after="0" w:line="240" w:lineRule="auto"/>
              <w:rPr>
                <w:rFonts w:ascii="Calibri" w:eastAsia="Times New Roman" w:hAnsi="Calibri" w:cs="Times New Roman"/>
                <w:color w:val="000000"/>
                <w:lang w:val="es-CL" w:eastAsia="es-CL"/>
              </w:rPr>
            </w:pPr>
            <w:r>
              <w:rPr>
                <w:rFonts w:ascii="Calibri" w:eastAsia="Times New Roman" w:hAnsi="Calibri" w:cs="Calibri"/>
                <w:b/>
                <w:bCs/>
                <w:color w:val="000000"/>
              </w:rPr>
              <w:t>p&gt;|z|</w:t>
            </w:r>
          </w:p>
        </w:tc>
        <w:tc>
          <w:tcPr>
            <w:tcW w:w="2993" w:type="dxa"/>
            <w:gridSpan w:val="2"/>
            <w:tcBorders>
              <w:top w:val="single" w:sz="4" w:space="0" w:color="auto"/>
              <w:left w:val="nil"/>
              <w:bottom w:val="single" w:sz="4" w:space="0" w:color="auto"/>
              <w:right w:val="single" w:sz="4" w:space="0" w:color="auto"/>
            </w:tcBorders>
            <w:shd w:val="clear" w:color="auto" w:fill="D9E2F3" w:themeFill="accent1" w:themeFillTint="33"/>
            <w:noWrap/>
            <w:hideMark/>
          </w:tcPr>
          <w:p w14:paraId="0F3A0D40" w14:textId="1656BD79" w:rsidR="0014026B" w:rsidRDefault="00CE017A">
            <w:pPr>
              <w:spacing w:after="0" w:line="240" w:lineRule="auto"/>
              <w:jc w:val="center"/>
              <w:rPr>
                <w:rFonts w:ascii="Calibri" w:eastAsia="Times New Roman" w:hAnsi="Calibri" w:cs="Times New Roman"/>
                <w:color w:val="000000"/>
                <w:lang w:val="es-CL" w:eastAsia="es-CL"/>
              </w:rPr>
            </w:pPr>
            <w:r>
              <w:rPr>
                <w:rFonts w:ascii="Calibri" w:eastAsia="Times New Roman" w:hAnsi="Calibri" w:cs="Calibri"/>
                <w:b/>
                <w:bCs/>
                <w:color w:val="000000"/>
              </w:rPr>
              <w:t>Confidence Interval</w:t>
            </w:r>
            <w:r w:rsidR="0014026B">
              <w:rPr>
                <w:rFonts w:ascii="Calibri" w:eastAsia="Times New Roman" w:hAnsi="Calibri" w:cs="Calibri"/>
                <w:b/>
                <w:bCs/>
                <w:color w:val="000000"/>
              </w:rPr>
              <w:t xml:space="preserve"> (95%)</w:t>
            </w:r>
          </w:p>
        </w:tc>
      </w:tr>
      <w:tr w:rsidR="0014026B" w14:paraId="2CCE8B82" w14:textId="77777777" w:rsidTr="0014026B">
        <w:trPr>
          <w:trHeight w:val="286"/>
        </w:trPr>
        <w:tc>
          <w:tcPr>
            <w:tcW w:w="1425" w:type="dxa"/>
            <w:tcBorders>
              <w:top w:val="nil"/>
              <w:left w:val="single" w:sz="4" w:space="0" w:color="auto"/>
              <w:bottom w:val="single" w:sz="4" w:space="0" w:color="auto"/>
              <w:right w:val="single" w:sz="4" w:space="0" w:color="auto"/>
            </w:tcBorders>
            <w:noWrap/>
            <w:vAlign w:val="bottom"/>
            <w:hideMark/>
          </w:tcPr>
          <w:p w14:paraId="44E9428D" w14:textId="3EDB442F" w:rsidR="0014026B" w:rsidRPr="00796505" w:rsidRDefault="00796505">
            <w:pPr>
              <w:spacing w:after="0" w:line="240" w:lineRule="auto"/>
              <w:rPr>
                <w:rFonts w:ascii="Calibri" w:eastAsia="Times New Roman" w:hAnsi="Calibri" w:cs="Times New Roman"/>
                <w:color w:val="000000"/>
                <w:lang w:val="es-CL" w:eastAsia="es-CL"/>
              </w:rPr>
            </w:pPr>
            <m:oMathPara>
              <m:oMathParaPr>
                <m:jc m:val="left"/>
              </m:oMathParaPr>
              <m:oMath>
                <m:r>
                  <w:rPr>
                    <w:rFonts w:ascii="Cambria Math" w:eastAsia="Times New Roman" w:hAnsi="Cambria Math" w:cs="Times New Roman"/>
                    <w:color w:val="000000"/>
                    <w:lang w:val="es-CL" w:eastAsia="es-CL"/>
                  </w:rPr>
                  <m:t>∆E</m:t>
                </m:r>
              </m:oMath>
            </m:oMathPara>
          </w:p>
        </w:tc>
        <w:tc>
          <w:tcPr>
            <w:tcW w:w="1335" w:type="dxa"/>
            <w:tcBorders>
              <w:top w:val="nil"/>
              <w:left w:val="nil"/>
              <w:bottom w:val="single" w:sz="4" w:space="0" w:color="auto"/>
              <w:right w:val="single" w:sz="4" w:space="0" w:color="auto"/>
            </w:tcBorders>
            <w:noWrap/>
            <w:vAlign w:val="bottom"/>
            <w:hideMark/>
          </w:tcPr>
          <w:p w14:paraId="43AAFF1A"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0.1089</w:t>
            </w:r>
          </w:p>
        </w:tc>
        <w:tc>
          <w:tcPr>
            <w:tcW w:w="1335" w:type="dxa"/>
            <w:tcBorders>
              <w:top w:val="nil"/>
              <w:left w:val="nil"/>
              <w:bottom w:val="single" w:sz="4" w:space="0" w:color="auto"/>
              <w:right w:val="single" w:sz="4" w:space="0" w:color="auto"/>
            </w:tcBorders>
            <w:noWrap/>
            <w:vAlign w:val="bottom"/>
            <w:hideMark/>
          </w:tcPr>
          <w:p w14:paraId="12096728"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0.0294</w:t>
            </w:r>
          </w:p>
        </w:tc>
        <w:tc>
          <w:tcPr>
            <w:tcW w:w="987" w:type="dxa"/>
            <w:tcBorders>
              <w:top w:val="nil"/>
              <w:left w:val="nil"/>
              <w:bottom w:val="single" w:sz="4" w:space="0" w:color="auto"/>
              <w:right w:val="single" w:sz="4" w:space="0" w:color="auto"/>
            </w:tcBorders>
            <w:noWrap/>
            <w:vAlign w:val="bottom"/>
            <w:hideMark/>
          </w:tcPr>
          <w:p w14:paraId="0DC733CA"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3.71</w:t>
            </w:r>
          </w:p>
        </w:tc>
        <w:tc>
          <w:tcPr>
            <w:tcW w:w="897" w:type="dxa"/>
            <w:tcBorders>
              <w:top w:val="nil"/>
              <w:left w:val="nil"/>
              <w:bottom w:val="single" w:sz="4" w:space="0" w:color="auto"/>
              <w:right w:val="single" w:sz="4" w:space="0" w:color="auto"/>
            </w:tcBorders>
            <w:noWrap/>
            <w:vAlign w:val="bottom"/>
            <w:hideMark/>
          </w:tcPr>
          <w:p w14:paraId="2E1A8016"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w:t>
            </w:r>
          </w:p>
        </w:tc>
        <w:tc>
          <w:tcPr>
            <w:tcW w:w="1646" w:type="dxa"/>
            <w:tcBorders>
              <w:top w:val="nil"/>
              <w:left w:val="nil"/>
              <w:bottom w:val="single" w:sz="4" w:space="0" w:color="auto"/>
              <w:right w:val="single" w:sz="4" w:space="0" w:color="auto"/>
            </w:tcBorders>
            <w:noWrap/>
            <w:vAlign w:val="bottom"/>
            <w:hideMark/>
          </w:tcPr>
          <w:p w14:paraId="49B08C35"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0.0513</w:t>
            </w:r>
          </w:p>
        </w:tc>
        <w:tc>
          <w:tcPr>
            <w:tcW w:w="1347" w:type="dxa"/>
            <w:tcBorders>
              <w:top w:val="nil"/>
              <w:left w:val="nil"/>
              <w:bottom w:val="single" w:sz="4" w:space="0" w:color="auto"/>
              <w:right w:val="single" w:sz="4" w:space="0" w:color="auto"/>
            </w:tcBorders>
            <w:noWrap/>
            <w:vAlign w:val="bottom"/>
            <w:hideMark/>
          </w:tcPr>
          <w:p w14:paraId="14FF9A48"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0.1664</w:t>
            </w:r>
          </w:p>
        </w:tc>
      </w:tr>
      <w:tr w:rsidR="0014026B" w14:paraId="1E5F961A" w14:textId="77777777" w:rsidTr="0014026B">
        <w:trPr>
          <w:trHeight w:val="286"/>
        </w:trPr>
        <w:tc>
          <w:tcPr>
            <w:tcW w:w="1425" w:type="dxa"/>
            <w:tcBorders>
              <w:top w:val="nil"/>
              <w:left w:val="single" w:sz="4" w:space="0" w:color="auto"/>
              <w:bottom w:val="single" w:sz="4" w:space="0" w:color="auto"/>
              <w:right w:val="single" w:sz="4" w:space="0" w:color="auto"/>
            </w:tcBorders>
            <w:noWrap/>
            <w:vAlign w:val="bottom"/>
            <w:hideMark/>
          </w:tcPr>
          <w:p w14:paraId="0ACABB6B" w14:textId="394B219E" w:rsidR="0014026B" w:rsidRDefault="0014026B">
            <w:pPr>
              <w:spacing w:after="0" w:line="240" w:lineRule="auto"/>
              <w:rPr>
                <w:rFonts w:ascii="Calibri" w:eastAsia="Times New Roman" w:hAnsi="Calibri" w:cs="Times New Roman"/>
                <w:color w:val="000000"/>
                <w:lang w:val="es-CL" w:eastAsia="es-CL"/>
              </w:rPr>
            </w:pPr>
            <w:r>
              <w:rPr>
                <w:rFonts w:ascii="Calibri" w:eastAsia="Times New Roman" w:hAnsi="Calibri" w:cs="Calibri"/>
                <w:color w:val="000000"/>
                <w:lang w:val="es-CL" w:eastAsia="es-CL"/>
              </w:rPr>
              <w:t>US</w:t>
            </w:r>
            <w:r w:rsidR="00796505">
              <w:rPr>
                <w:rFonts w:ascii="Calibri" w:eastAsia="Times New Roman" w:hAnsi="Calibri" w:cs="Calibri"/>
                <w:color w:val="000000"/>
                <w:lang w:val="es-CL" w:eastAsia="es-CL"/>
              </w:rPr>
              <w:t xml:space="preserve"> Inf.</w:t>
            </w:r>
          </w:p>
        </w:tc>
        <w:tc>
          <w:tcPr>
            <w:tcW w:w="1335" w:type="dxa"/>
            <w:tcBorders>
              <w:top w:val="nil"/>
              <w:left w:val="nil"/>
              <w:bottom w:val="single" w:sz="4" w:space="0" w:color="auto"/>
              <w:right w:val="single" w:sz="4" w:space="0" w:color="auto"/>
            </w:tcBorders>
            <w:noWrap/>
            <w:vAlign w:val="bottom"/>
            <w:hideMark/>
          </w:tcPr>
          <w:p w14:paraId="1E84AC66"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0.5345</w:t>
            </w:r>
          </w:p>
        </w:tc>
        <w:tc>
          <w:tcPr>
            <w:tcW w:w="1335" w:type="dxa"/>
            <w:tcBorders>
              <w:top w:val="nil"/>
              <w:left w:val="nil"/>
              <w:bottom w:val="single" w:sz="4" w:space="0" w:color="auto"/>
              <w:right w:val="single" w:sz="4" w:space="0" w:color="auto"/>
            </w:tcBorders>
            <w:noWrap/>
            <w:vAlign w:val="bottom"/>
            <w:hideMark/>
          </w:tcPr>
          <w:p w14:paraId="62D68531"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0.0723</w:t>
            </w:r>
          </w:p>
        </w:tc>
        <w:tc>
          <w:tcPr>
            <w:tcW w:w="987" w:type="dxa"/>
            <w:tcBorders>
              <w:top w:val="nil"/>
              <w:left w:val="nil"/>
              <w:bottom w:val="single" w:sz="4" w:space="0" w:color="auto"/>
              <w:right w:val="single" w:sz="4" w:space="0" w:color="auto"/>
            </w:tcBorders>
            <w:noWrap/>
            <w:vAlign w:val="bottom"/>
            <w:hideMark/>
          </w:tcPr>
          <w:p w14:paraId="5AC09539"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7.39</w:t>
            </w:r>
          </w:p>
        </w:tc>
        <w:tc>
          <w:tcPr>
            <w:tcW w:w="897" w:type="dxa"/>
            <w:tcBorders>
              <w:top w:val="nil"/>
              <w:left w:val="nil"/>
              <w:bottom w:val="single" w:sz="4" w:space="0" w:color="auto"/>
              <w:right w:val="single" w:sz="4" w:space="0" w:color="auto"/>
            </w:tcBorders>
            <w:noWrap/>
            <w:vAlign w:val="bottom"/>
            <w:hideMark/>
          </w:tcPr>
          <w:p w14:paraId="29297F2E"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w:t>
            </w:r>
          </w:p>
        </w:tc>
        <w:tc>
          <w:tcPr>
            <w:tcW w:w="1646" w:type="dxa"/>
            <w:tcBorders>
              <w:top w:val="nil"/>
              <w:left w:val="nil"/>
              <w:bottom w:val="single" w:sz="4" w:space="0" w:color="auto"/>
              <w:right w:val="single" w:sz="4" w:space="0" w:color="auto"/>
            </w:tcBorders>
            <w:noWrap/>
            <w:vAlign w:val="bottom"/>
            <w:hideMark/>
          </w:tcPr>
          <w:p w14:paraId="3800C886"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0.3927</w:t>
            </w:r>
          </w:p>
        </w:tc>
        <w:tc>
          <w:tcPr>
            <w:tcW w:w="1347" w:type="dxa"/>
            <w:tcBorders>
              <w:top w:val="nil"/>
              <w:left w:val="nil"/>
              <w:bottom w:val="single" w:sz="4" w:space="0" w:color="auto"/>
              <w:right w:val="single" w:sz="4" w:space="0" w:color="auto"/>
            </w:tcBorders>
            <w:noWrap/>
            <w:vAlign w:val="bottom"/>
            <w:hideMark/>
          </w:tcPr>
          <w:p w14:paraId="11199B18"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0.6763</w:t>
            </w:r>
          </w:p>
        </w:tc>
      </w:tr>
      <w:tr w:rsidR="0014026B" w14:paraId="24E7CDE4" w14:textId="77777777" w:rsidTr="0014026B">
        <w:trPr>
          <w:trHeight w:val="286"/>
        </w:trPr>
        <w:tc>
          <w:tcPr>
            <w:tcW w:w="1425" w:type="dxa"/>
            <w:tcBorders>
              <w:top w:val="nil"/>
              <w:left w:val="single" w:sz="4" w:space="0" w:color="auto"/>
              <w:bottom w:val="single" w:sz="4" w:space="0" w:color="auto"/>
              <w:right w:val="single" w:sz="4" w:space="0" w:color="auto"/>
            </w:tcBorders>
            <w:noWrap/>
            <w:vAlign w:val="bottom"/>
            <w:hideMark/>
          </w:tcPr>
          <w:p w14:paraId="540E27A1" w14:textId="4EE06229" w:rsidR="0014026B" w:rsidRDefault="0014026B">
            <w:pPr>
              <w:spacing w:after="0" w:line="240" w:lineRule="auto"/>
              <w:rPr>
                <w:rFonts w:ascii="Calibri" w:eastAsia="Times New Roman" w:hAnsi="Calibri" w:cs="Times New Roman"/>
                <w:color w:val="000000"/>
                <w:lang w:val="es-CL" w:eastAsia="es-CL"/>
              </w:rPr>
            </w:pPr>
            <w:r>
              <w:rPr>
                <w:rFonts w:ascii="Calibri" w:eastAsia="Times New Roman" w:hAnsi="Calibri" w:cs="Calibri"/>
                <w:color w:val="000000"/>
                <w:lang w:val="es-CL" w:eastAsia="es-CL"/>
              </w:rPr>
              <w:t>China</w:t>
            </w:r>
            <w:r w:rsidR="00796505">
              <w:rPr>
                <w:rFonts w:ascii="Calibri" w:eastAsia="Times New Roman" w:hAnsi="Calibri" w:cs="Calibri"/>
                <w:color w:val="000000"/>
                <w:lang w:val="es-CL" w:eastAsia="es-CL"/>
              </w:rPr>
              <w:t xml:space="preserve"> Inf.</w:t>
            </w:r>
          </w:p>
        </w:tc>
        <w:tc>
          <w:tcPr>
            <w:tcW w:w="1335" w:type="dxa"/>
            <w:tcBorders>
              <w:top w:val="nil"/>
              <w:left w:val="nil"/>
              <w:bottom w:val="single" w:sz="4" w:space="0" w:color="auto"/>
              <w:right w:val="single" w:sz="4" w:space="0" w:color="auto"/>
            </w:tcBorders>
            <w:noWrap/>
            <w:vAlign w:val="bottom"/>
            <w:hideMark/>
          </w:tcPr>
          <w:p w14:paraId="3E133091"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0.0467</w:t>
            </w:r>
          </w:p>
        </w:tc>
        <w:tc>
          <w:tcPr>
            <w:tcW w:w="1335" w:type="dxa"/>
            <w:tcBorders>
              <w:top w:val="nil"/>
              <w:left w:val="nil"/>
              <w:bottom w:val="single" w:sz="4" w:space="0" w:color="auto"/>
              <w:right w:val="single" w:sz="4" w:space="0" w:color="auto"/>
            </w:tcBorders>
            <w:noWrap/>
            <w:vAlign w:val="bottom"/>
            <w:hideMark/>
          </w:tcPr>
          <w:p w14:paraId="013B05CB"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0.0386</w:t>
            </w:r>
          </w:p>
        </w:tc>
        <w:tc>
          <w:tcPr>
            <w:tcW w:w="987" w:type="dxa"/>
            <w:tcBorders>
              <w:top w:val="nil"/>
              <w:left w:val="nil"/>
              <w:bottom w:val="single" w:sz="4" w:space="0" w:color="auto"/>
              <w:right w:val="single" w:sz="4" w:space="0" w:color="auto"/>
            </w:tcBorders>
            <w:noWrap/>
            <w:vAlign w:val="bottom"/>
            <w:hideMark/>
          </w:tcPr>
          <w:p w14:paraId="5059EB6D"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1.21</w:t>
            </w:r>
          </w:p>
        </w:tc>
        <w:tc>
          <w:tcPr>
            <w:tcW w:w="897" w:type="dxa"/>
            <w:tcBorders>
              <w:top w:val="nil"/>
              <w:left w:val="nil"/>
              <w:bottom w:val="single" w:sz="4" w:space="0" w:color="auto"/>
              <w:right w:val="single" w:sz="4" w:space="0" w:color="auto"/>
            </w:tcBorders>
            <w:noWrap/>
            <w:vAlign w:val="bottom"/>
            <w:hideMark/>
          </w:tcPr>
          <w:p w14:paraId="24A994A9"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0.226</w:t>
            </w:r>
          </w:p>
        </w:tc>
        <w:tc>
          <w:tcPr>
            <w:tcW w:w="1646" w:type="dxa"/>
            <w:tcBorders>
              <w:top w:val="nil"/>
              <w:left w:val="nil"/>
              <w:bottom w:val="single" w:sz="4" w:space="0" w:color="auto"/>
              <w:right w:val="single" w:sz="4" w:space="0" w:color="auto"/>
            </w:tcBorders>
            <w:noWrap/>
            <w:vAlign w:val="bottom"/>
            <w:hideMark/>
          </w:tcPr>
          <w:p w14:paraId="18B8D118"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-0.0288</w:t>
            </w:r>
          </w:p>
        </w:tc>
        <w:tc>
          <w:tcPr>
            <w:tcW w:w="1347" w:type="dxa"/>
            <w:tcBorders>
              <w:top w:val="nil"/>
              <w:left w:val="nil"/>
              <w:bottom w:val="single" w:sz="4" w:space="0" w:color="auto"/>
              <w:right w:val="single" w:sz="4" w:space="0" w:color="auto"/>
            </w:tcBorders>
            <w:noWrap/>
            <w:vAlign w:val="bottom"/>
            <w:hideMark/>
          </w:tcPr>
          <w:p w14:paraId="053A33F4"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0.1223</w:t>
            </w:r>
          </w:p>
        </w:tc>
      </w:tr>
      <w:tr w:rsidR="0014026B" w14:paraId="04AB0D14" w14:textId="77777777" w:rsidTr="0014026B">
        <w:trPr>
          <w:trHeight w:val="286"/>
        </w:trPr>
        <w:tc>
          <w:tcPr>
            <w:tcW w:w="1425" w:type="dxa"/>
            <w:tcBorders>
              <w:top w:val="nil"/>
              <w:left w:val="single" w:sz="4" w:space="0" w:color="auto"/>
              <w:bottom w:val="single" w:sz="4" w:space="0" w:color="auto"/>
              <w:right w:val="single" w:sz="4" w:space="0" w:color="auto"/>
            </w:tcBorders>
            <w:noWrap/>
            <w:vAlign w:val="bottom"/>
            <w:hideMark/>
          </w:tcPr>
          <w:p w14:paraId="6BD26AC8" w14:textId="1FFFE556" w:rsidR="0014026B" w:rsidRDefault="0014026B">
            <w:pPr>
              <w:spacing w:after="0" w:line="240" w:lineRule="auto"/>
              <w:rPr>
                <w:rFonts w:ascii="Calibri" w:eastAsia="Times New Roman" w:hAnsi="Calibri" w:cs="Times New Roman"/>
                <w:color w:val="000000"/>
                <w:lang w:val="es-CL" w:eastAsia="es-CL"/>
              </w:rPr>
            </w:pPr>
            <w:r>
              <w:rPr>
                <w:rFonts w:ascii="Calibri" w:eastAsia="Times New Roman" w:hAnsi="Calibri" w:cs="Calibri"/>
                <w:color w:val="000000"/>
                <w:lang w:val="es-CL" w:eastAsia="es-CL"/>
              </w:rPr>
              <w:t>Eurozon</w:t>
            </w:r>
            <w:r w:rsidR="00796505">
              <w:rPr>
                <w:rFonts w:ascii="Calibri" w:eastAsia="Times New Roman" w:hAnsi="Calibri" w:cs="Calibri"/>
                <w:color w:val="000000"/>
                <w:lang w:val="es-CL" w:eastAsia="es-CL"/>
              </w:rPr>
              <w:t>e Inf.</w:t>
            </w:r>
          </w:p>
        </w:tc>
        <w:tc>
          <w:tcPr>
            <w:tcW w:w="1335" w:type="dxa"/>
            <w:tcBorders>
              <w:top w:val="nil"/>
              <w:left w:val="nil"/>
              <w:bottom w:val="single" w:sz="4" w:space="0" w:color="auto"/>
              <w:right w:val="single" w:sz="4" w:space="0" w:color="auto"/>
            </w:tcBorders>
            <w:noWrap/>
            <w:vAlign w:val="bottom"/>
            <w:hideMark/>
          </w:tcPr>
          <w:p w14:paraId="02577B63"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0.0246</w:t>
            </w:r>
          </w:p>
        </w:tc>
        <w:tc>
          <w:tcPr>
            <w:tcW w:w="1335" w:type="dxa"/>
            <w:tcBorders>
              <w:top w:val="nil"/>
              <w:left w:val="nil"/>
              <w:bottom w:val="single" w:sz="4" w:space="0" w:color="auto"/>
              <w:right w:val="single" w:sz="4" w:space="0" w:color="auto"/>
            </w:tcBorders>
            <w:noWrap/>
            <w:vAlign w:val="bottom"/>
            <w:hideMark/>
          </w:tcPr>
          <w:p w14:paraId="71253AD6"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0.0486</w:t>
            </w:r>
          </w:p>
        </w:tc>
        <w:tc>
          <w:tcPr>
            <w:tcW w:w="987" w:type="dxa"/>
            <w:tcBorders>
              <w:top w:val="nil"/>
              <w:left w:val="nil"/>
              <w:bottom w:val="single" w:sz="4" w:space="0" w:color="auto"/>
              <w:right w:val="single" w:sz="4" w:space="0" w:color="auto"/>
            </w:tcBorders>
            <w:noWrap/>
            <w:vAlign w:val="bottom"/>
            <w:hideMark/>
          </w:tcPr>
          <w:p w14:paraId="3C4F1496"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0.51</w:t>
            </w:r>
          </w:p>
        </w:tc>
        <w:tc>
          <w:tcPr>
            <w:tcW w:w="897" w:type="dxa"/>
            <w:tcBorders>
              <w:top w:val="nil"/>
              <w:left w:val="nil"/>
              <w:bottom w:val="single" w:sz="4" w:space="0" w:color="auto"/>
              <w:right w:val="single" w:sz="4" w:space="0" w:color="auto"/>
            </w:tcBorders>
            <w:noWrap/>
            <w:vAlign w:val="bottom"/>
            <w:hideMark/>
          </w:tcPr>
          <w:p w14:paraId="40D59E2D"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0.613</w:t>
            </w:r>
          </w:p>
        </w:tc>
        <w:tc>
          <w:tcPr>
            <w:tcW w:w="1646" w:type="dxa"/>
            <w:tcBorders>
              <w:top w:val="nil"/>
              <w:left w:val="nil"/>
              <w:bottom w:val="single" w:sz="4" w:space="0" w:color="auto"/>
              <w:right w:val="single" w:sz="4" w:space="0" w:color="auto"/>
            </w:tcBorders>
            <w:noWrap/>
            <w:vAlign w:val="bottom"/>
            <w:hideMark/>
          </w:tcPr>
          <w:p w14:paraId="5E21FC76"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-0.0706</w:t>
            </w:r>
          </w:p>
        </w:tc>
        <w:tc>
          <w:tcPr>
            <w:tcW w:w="1347" w:type="dxa"/>
            <w:tcBorders>
              <w:top w:val="nil"/>
              <w:left w:val="nil"/>
              <w:bottom w:val="single" w:sz="4" w:space="0" w:color="auto"/>
              <w:right w:val="single" w:sz="4" w:space="0" w:color="auto"/>
            </w:tcBorders>
            <w:noWrap/>
            <w:vAlign w:val="bottom"/>
            <w:hideMark/>
          </w:tcPr>
          <w:p w14:paraId="58DF2C15"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0.1198</w:t>
            </w:r>
          </w:p>
        </w:tc>
      </w:tr>
      <w:tr w:rsidR="0014026B" w14:paraId="7DAC44F3" w14:textId="77777777" w:rsidTr="0014026B">
        <w:trPr>
          <w:trHeight w:val="286"/>
        </w:trPr>
        <w:tc>
          <w:tcPr>
            <w:tcW w:w="1425" w:type="dxa"/>
            <w:tcBorders>
              <w:top w:val="nil"/>
              <w:left w:val="single" w:sz="4" w:space="0" w:color="auto"/>
              <w:bottom w:val="single" w:sz="4" w:space="0" w:color="auto"/>
              <w:right w:val="single" w:sz="4" w:space="0" w:color="auto"/>
            </w:tcBorders>
            <w:noWrap/>
            <w:hideMark/>
          </w:tcPr>
          <w:p w14:paraId="31217DE0" w14:textId="77777777" w:rsidR="0014026B" w:rsidRDefault="0062217F">
            <w:pPr>
              <w:spacing w:after="0" w:line="240" w:lineRule="auto"/>
              <w:rPr>
                <w:rFonts w:ascii="Calibri" w:eastAsia="Times New Roman" w:hAnsi="Calibri" w:cs="Times New Roman"/>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1</m:t>
                    </m:r>
                  </m:sub>
                </m:sSub>
              </m:oMath>
            </m:oMathPara>
          </w:p>
        </w:tc>
        <w:tc>
          <w:tcPr>
            <w:tcW w:w="1335" w:type="dxa"/>
            <w:tcBorders>
              <w:top w:val="nil"/>
              <w:left w:val="nil"/>
              <w:bottom w:val="single" w:sz="4" w:space="0" w:color="auto"/>
              <w:right w:val="single" w:sz="4" w:space="0" w:color="auto"/>
            </w:tcBorders>
            <w:noWrap/>
            <w:vAlign w:val="bottom"/>
            <w:hideMark/>
          </w:tcPr>
          <w:p w14:paraId="6CE6CA65"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-0.0004</w:t>
            </w:r>
          </w:p>
        </w:tc>
        <w:tc>
          <w:tcPr>
            <w:tcW w:w="1335" w:type="dxa"/>
            <w:tcBorders>
              <w:top w:val="nil"/>
              <w:left w:val="nil"/>
              <w:bottom w:val="single" w:sz="4" w:space="0" w:color="auto"/>
              <w:right w:val="single" w:sz="4" w:space="0" w:color="auto"/>
            </w:tcBorders>
            <w:noWrap/>
            <w:vAlign w:val="bottom"/>
            <w:hideMark/>
          </w:tcPr>
          <w:p w14:paraId="6CEF8497"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0.0015</w:t>
            </w:r>
          </w:p>
        </w:tc>
        <w:tc>
          <w:tcPr>
            <w:tcW w:w="987" w:type="dxa"/>
            <w:tcBorders>
              <w:top w:val="nil"/>
              <w:left w:val="nil"/>
              <w:bottom w:val="single" w:sz="4" w:space="0" w:color="auto"/>
              <w:right w:val="single" w:sz="4" w:space="0" w:color="auto"/>
            </w:tcBorders>
            <w:noWrap/>
            <w:vAlign w:val="bottom"/>
            <w:hideMark/>
          </w:tcPr>
          <w:p w14:paraId="3BBE9775"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-0.26</w:t>
            </w:r>
          </w:p>
        </w:tc>
        <w:tc>
          <w:tcPr>
            <w:tcW w:w="897" w:type="dxa"/>
            <w:tcBorders>
              <w:top w:val="nil"/>
              <w:left w:val="nil"/>
              <w:bottom w:val="single" w:sz="4" w:space="0" w:color="auto"/>
              <w:right w:val="single" w:sz="4" w:space="0" w:color="auto"/>
            </w:tcBorders>
            <w:noWrap/>
            <w:vAlign w:val="bottom"/>
            <w:hideMark/>
          </w:tcPr>
          <w:p w14:paraId="19C52E0F"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0.798</w:t>
            </w:r>
          </w:p>
        </w:tc>
        <w:tc>
          <w:tcPr>
            <w:tcW w:w="1646" w:type="dxa"/>
            <w:tcBorders>
              <w:top w:val="nil"/>
              <w:left w:val="nil"/>
              <w:bottom w:val="single" w:sz="4" w:space="0" w:color="auto"/>
              <w:right w:val="single" w:sz="4" w:space="0" w:color="auto"/>
            </w:tcBorders>
            <w:noWrap/>
            <w:vAlign w:val="bottom"/>
            <w:hideMark/>
          </w:tcPr>
          <w:p w14:paraId="3C84C506"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-0.0032</w:t>
            </w:r>
          </w:p>
        </w:tc>
        <w:tc>
          <w:tcPr>
            <w:tcW w:w="1347" w:type="dxa"/>
            <w:tcBorders>
              <w:top w:val="nil"/>
              <w:left w:val="nil"/>
              <w:bottom w:val="single" w:sz="4" w:space="0" w:color="auto"/>
              <w:right w:val="single" w:sz="4" w:space="0" w:color="auto"/>
            </w:tcBorders>
            <w:noWrap/>
            <w:vAlign w:val="bottom"/>
            <w:hideMark/>
          </w:tcPr>
          <w:p w14:paraId="4C874D46"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0.0025</w:t>
            </w:r>
          </w:p>
        </w:tc>
      </w:tr>
      <w:tr w:rsidR="0014026B" w14:paraId="3A69AC80" w14:textId="77777777" w:rsidTr="0014026B">
        <w:trPr>
          <w:trHeight w:val="286"/>
        </w:trPr>
        <w:tc>
          <w:tcPr>
            <w:tcW w:w="1425" w:type="dxa"/>
            <w:tcBorders>
              <w:top w:val="nil"/>
              <w:left w:val="single" w:sz="4" w:space="0" w:color="auto"/>
              <w:bottom w:val="single" w:sz="4" w:space="0" w:color="auto"/>
              <w:right w:val="single" w:sz="4" w:space="0" w:color="auto"/>
            </w:tcBorders>
            <w:noWrap/>
            <w:hideMark/>
          </w:tcPr>
          <w:p w14:paraId="54DE2C44" w14:textId="77777777" w:rsidR="0014026B" w:rsidRDefault="0062217F">
            <w:pPr>
              <w:spacing w:after="0" w:line="240" w:lineRule="auto"/>
              <w:rPr>
                <w:rFonts w:ascii="Calibri" w:eastAsia="Times New Roman" w:hAnsi="Calibri" w:cs="Times New Roman"/>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2</m:t>
                    </m:r>
                  </m:sub>
                </m:sSub>
              </m:oMath>
            </m:oMathPara>
          </w:p>
        </w:tc>
        <w:tc>
          <w:tcPr>
            <w:tcW w:w="1335" w:type="dxa"/>
            <w:tcBorders>
              <w:top w:val="nil"/>
              <w:left w:val="nil"/>
              <w:bottom w:val="single" w:sz="4" w:space="0" w:color="auto"/>
              <w:right w:val="single" w:sz="4" w:space="0" w:color="auto"/>
            </w:tcBorders>
            <w:noWrap/>
            <w:vAlign w:val="bottom"/>
            <w:hideMark/>
          </w:tcPr>
          <w:p w14:paraId="6A550EA2"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-0.0008</w:t>
            </w:r>
          </w:p>
        </w:tc>
        <w:tc>
          <w:tcPr>
            <w:tcW w:w="1335" w:type="dxa"/>
            <w:tcBorders>
              <w:top w:val="nil"/>
              <w:left w:val="nil"/>
              <w:bottom w:val="single" w:sz="4" w:space="0" w:color="auto"/>
              <w:right w:val="single" w:sz="4" w:space="0" w:color="auto"/>
            </w:tcBorders>
            <w:noWrap/>
            <w:vAlign w:val="bottom"/>
            <w:hideMark/>
          </w:tcPr>
          <w:p w14:paraId="5C1F4633"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0.0017</w:t>
            </w:r>
          </w:p>
        </w:tc>
        <w:tc>
          <w:tcPr>
            <w:tcW w:w="987" w:type="dxa"/>
            <w:tcBorders>
              <w:top w:val="nil"/>
              <w:left w:val="nil"/>
              <w:bottom w:val="single" w:sz="4" w:space="0" w:color="auto"/>
              <w:right w:val="single" w:sz="4" w:space="0" w:color="auto"/>
            </w:tcBorders>
            <w:noWrap/>
            <w:vAlign w:val="bottom"/>
            <w:hideMark/>
          </w:tcPr>
          <w:p w14:paraId="36D4FB34"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-0.49</w:t>
            </w:r>
          </w:p>
        </w:tc>
        <w:tc>
          <w:tcPr>
            <w:tcW w:w="897" w:type="dxa"/>
            <w:tcBorders>
              <w:top w:val="nil"/>
              <w:left w:val="nil"/>
              <w:bottom w:val="single" w:sz="4" w:space="0" w:color="auto"/>
              <w:right w:val="single" w:sz="4" w:space="0" w:color="auto"/>
            </w:tcBorders>
            <w:noWrap/>
            <w:vAlign w:val="bottom"/>
            <w:hideMark/>
          </w:tcPr>
          <w:p w14:paraId="23B5CA37"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0.626</w:t>
            </w:r>
          </w:p>
        </w:tc>
        <w:tc>
          <w:tcPr>
            <w:tcW w:w="1646" w:type="dxa"/>
            <w:tcBorders>
              <w:top w:val="nil"/>
              <w:left w:val="nil"/>
              <w:bottom w:val="single" w:sz="4" w:space="0" w:color="auto"/>
              <w:right w:val="single" w:sz="4" w:space="0" w:color="auto"/>
            </w:tcBorders>
            <w:noWrap/>
            <w:vAlign w:val="bottom"/>
            <w:hideMark/>
          </w:tcPr>
          <w:p w14:paraId="101B6F08"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-0.0042</w:t>
            </w:r>
          </w:p>
        </w:tc>
        <w:tc>
          <w:tcPr>
            <w:tcW w:w="1347" w:type="dxa"/>
            <w:tcBorders>
              <w:top w:val="nil"/>
              <w:left w:val="nil"/>
              <w:bottom w:val="single" w:sz="4" w:space="0" w:color="auto"/>
              <w:right w:val="single" w:sz="4" w:space="0" w:color="auto"/>
            </w:tcBorders>
            <w:noWrap/>
            <w:vAlign w:val="bottom"/>
            <w:hideMark/>
          </w:tcPr>
          <w:p w14:paraId="077F5196"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0.0026</w:t>
            </w:r>
          </w:p>
        </w:tc>
      </w:tr>
      <w:tr w:rsidR="0014026B" w14:paraId="6BDE84AE" w14:textId="77777777" w:rsidTr="0014026B">
        <w:trPr>
          <w:trHeight w:val="286"/>
        </w:trPr>
        <w:tc>
          <w:tcPr>
            <w:tcW w:w="1425" w:type="dxa"/>
            <w:tcBorders>
              <w:top w:val="nil"/>
              <w:left w:val="single" w:sz="4" w:space="0" w:color="auto"/>
              <w:bottom w:val="single" w:sz="4" w:space="0" w:color="auto"/>
              <w:right w:val="single" w:sz="4" w:space="0" w:color="auto"/>
            </w:tcBorders>
            <w:noWrap/>
            <w:hideMark/>
          </w:tcPr>
          <w:p w14:paraId="030B8F82" w14:textId="77777777" w:rsidR="0014026B" w:rsidRDefault="0062217F">
            <w:pPr>
              <w:spacing w:after="0" w:line="240" w:lineRule="auto"/>
              <w:rPr>
                <w:rFonts w:ascii="Calibri" w:eastAsia="Times New Roman" w:hAnsi="Calibri" w:cs="Times New Roman"/>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3</m:t>
                    </m:r>
                  </m:sub>
                </m:sSub>
              </m:oMath>
            </m:oMathPara>
          </w:p>
        </w:tc>
        <w:tc>
          <w:tcPr>
            <w:tcW w:w="1335" w:type="dxa"/>
            <w:tcBorders>
              <w:top w:val="nil"/>
              <w:left w:val="nil"/>
              <w:bottom w:val="single" w:sz="4" w:space="0" w:color="auto"/>
              <w:right w:val="single" w:sz="4" w:space="0" w:color="auto"/>
            </w:tcBorders>
            <w:noWrap/>
            <w:vAlign w:val="bottom"/>
            <w:hideMark/>
          </w:tcPr>
          <w:p w14:paraId="6D8D1C01"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0.0014</w:t>
            </w:r>
          </w:p>
        </w:tc>
        <w:tc>
          <w:tcPr>
            <w:tcW w:w="1335" w:type="dxa"/>
            <w:tcBorders>
              <w:top w:val="nil"/>
              <w:left w:val="nil"/>
              <w:bottom w:val="single" w:sz="4" w:space="0" w:color="auto"/>
              <w:right w:val="single" w:sz="4" w:space="0" w:color="auto"/>
            </w:tcBorders>
            <w:noWrap/>
            <w:vAlign w:val="bottom"/>
            <w:hideMark/>
          </w:tcPr>
          <w:p w14:paraId="597851E4"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0.0012</w:t>
            </w:r>
          </w:p>
        </w:tc>
        <w:tc>
          <w:tcPr>
            <w:tcW w:w="987" w:type="dxa"/>
            <w:tcBorders>
              <w:top w:val="nil"/>
              <w:left w:val="nil"/>
              <w:bottom w:val="single" w:sz="4" w:space="0" w:color="auto"/>
              <w:right w:val="single" w:sz="4" w:space="0" w:color="auto"/>
            </w:tcBorders>
            <w:noWrap/>
            <w:vAlign w:val="bottom"/>
            <w:hideMark/>
          </w:tcPr>
          <w:p w14:paraId="77EA8E96"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1.15</w:t>
            </w:r>
          </w:p>
        </w:tc>
        <w:tc>
          <w:tcPr>
            <w:tcW w:w="897" w:type="dxa"/>
            <w:tcBorders>
              <w:top w:val="nil"/>
              <w:left w:val="nil"/>
              <w:bottom w:val="single" w:sz="4" w:space="0" w:color="auto"/>
              <w:right w:val="single" w:sz="4" w:space="0" w:color="auto"/>
            </w:tcBorders>
            <w:noWrap/>
            <w:vAlign w:val="bottom"/>
            <w:hideMark/>
          </w:tcPr>
          <w:p w14:paraId="7C6D0CDF"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0.25</w:t>
            </w:r>
          </w:p>
        </w:tc>
        <w:tc>
          <w:tcPr>
            <w:tcW w:w="1646" w:type="dxa"/>
            <w:tcBorders>
              <w:top w:val="nil"/>
              <w:left w:val="nil"/>
              <w:bottom w:val="single" w:sz="4" w:space="0" w:color="auto"/>
              <w:right w:val="single" w:sz="4" w:space="0" w:color="auto"/>
            </w:tcBorders>
            <w:noWrap/>
            <w:vAlign w:val="bottom"/>
            <w:hideMark/>
          </w:tcPr>
          <w:p w14:paraId="7E93B4EE"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-0.0010</w:t>
            </w:r>
          </w:p>
        </w:tc>
        <w:tc>
          <w:tcPr>
            <w:tcW w:w="1347" w:type="dxa"/>
            <w:tcBorders>
              <w:top w:val="nil"/>
              <w:left w:val="nil"/>
              <w:bottom w:val="single" w:sz="4" w:space="0" w:color="auto"/>
              <w:right w:val="single" w:sz="4" w:space="0" w:color="auto"/>
            </w:tcBorders>
            <w:noWrap/>
            <w:vAlign w:val="bottom"/>
            <w:hideMark/>
          </w:tcPr>
          <w:p w14:paraId="0390FA49"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0.0037</w:t>
            </w:r>
          </w:p>
        </w:tc>
      </w:tr>
      <w:tr w:rsidR="0014026B" w14:paraId="7FBEF110" w14:textId="77777777" w:rsidTr="0014026B">
        <w:trPr>
          <w:trHeight w:val="286"/>
        </w:trPr>
        <w:tc>
          <w:tcPr>
            <w:tcW w:w="1425" w:type="dxa"/>
            <w:tcBorders>
              <w:top w:val="nil"/>
              <w:left w:val="single" w:sz="4" w:space="0" w:color="auto"/>
              <w:bottom w:val="single" w:sz="4" w:space="0" w:color="auto"/>
              <w:right w:val="single" w:sz="4" w:space="0" w:color="auto"/>
            </w:tcBorders>
            <w:noWrap/>
            <w:hideMark/>
          </w:tcPr>
          <w:p w14:paraId="5294EFF6" w14:textId="77777777" w:rsidR="0014026B" w:rsidRDefault="0062217F">
            <w:pPr>
              <w:spacing w:after="0" w:line="240" w:lineRule="auto"/>
              <w:rPr>
                <w:rFonts w:ascii="Calibri" w:eastAsia="Times New Roman" w:hAnsi="Calibri" w:cs="Times New Roman"/>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4</m:t>
                    </m:r>
                  </m:sub>
                </m:sSub>
              </m:oMath>
            </m:oMathPara>
          </w:p>
        </w:tc>
        <w:tc>
          <w:tcPr>
            <w:tcW w:w="1335" w:type="dxa"/>
            <w:tcBorders>
              <w:top w:val="nil"/>
              <w:left w:val="nil"/>
              <w:bottom w:val="single" w:sz="4" w:space="0" w:color="auto"/>
              <w:right w:val="single" w:sz="4" w:space="0" w:color="auto"/>
            </w:tcBorders>
            <w:noWrap/>
            <w:vAlign w:val="bottom"/>
            <w:hideMark/>
          </w:tcPr>
          <w:p w14:paraId="36C687CF"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0.0025</w:t>
            </w:r>
          </w:p>
        </w:tc>
        <w:tc>
          <w:tcPr>
            <w:tcW w:w="1335" w:type="dxa"/>
            <w:tcBorders>
              <w:top w:val="nil"/>
              <w:left w:val="nil"/>
              <w:bottom w:val="single" w:sz="4" w:space="0" w:color="auto"/>
              <w:right w:val="single" w:sz="4" w:space="0" w:color="auto"/>
            </w:tcBorders>
            <w:noWrap/>
            <w:vAlign w:val="bottom"/>
            <w:hideMark/>
          </w:tcPr>
          <w:p w14:paraId="7954E910"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0.0015</w:t>
            </w:r>
          </w:p>
        </w:tc>
        <w:tc>
          <w:tcPr>
            <w:tcW w:w="987" w:type="dxa"/>
            <w:tcBorders>
              <w:top w:val="nil"/>
              <w:left w:val="nil"/>
              <w:bottom w:val="single" w:sz="4" w:space="0" w:color="auto"/>
              <w:right w:val="single" w:sz="4" w:space="0" w:color="auto"/>
            </w:tcBorders>
            <w:noWrap/>
            <w:vAlign w:val="bottom"/>
            <w:hideMark/>
          </w:tcPr>
          <w:p w14:paraId="497DF4FC"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1.65</w:t>
            </w:r>
          </w:p>
        </w:tc>
        <w:tc>
          <w:tcPr>
            <w:tcW w:w="897" w:type="dxa"/>
            <w:tcBorders>
              <w:top w:val="nil"/>
              <w:left w:val="nil"/>
              <w:bottom w:val="single" w:sz="4" w:space="0" w:color="auto"/>
              <w:right w:val="single" w:sz="4" w:space="0" w:color="auto"/>
            </w:tcBorders>
            <w:noWrap/>
            <w:vAlign w:val="bottom"/>
            <w:hideMark/>
          </w:tcPr>
          <w:p w14:paraId="002C503A"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0.099</w:t>
            </w:r>
          </w:p>
        </w:tc>
        <w:tc>
          <w:tcPr>
            <w:tcW w:w="1646" w:type="dxa"/>
            <w:tcBorders>
              <w:top w:val="nil"/>
              <w:left w:val="nil"/>
              <w:bottom w:val="single" w:sz="4" w:space="0" w:color="auto"/>
              <w:right w:val="single" w:sz="4" w:space="0" w:color="auto"/>
            </w:tcBorders>
            <w:noWrap/>
            <w:vAlign w:val="bottom"/>
            <w:hideMark/>
          </w:tcPr>
          <w:p w14:paraId="3F0E6B08"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-0.0005</w:t>
            </w:r>
          </w:p>
        </w:tc>
        <w:tc>
          <w:tcPr>
            <w:tcW w:w="1347" w:type="dxa"/>
            <w:tcBorders>
              <w:top w:val="nil"/>
              <w:left w:val="nil"/>
              <w:bottom w:val="single" w:sz="4" w:space="0" w:color="auto"/>
              <w:right w:val="single" w:sz="4" w:space="0" w:color="auto"/>
            </w:tcBorders>
            <w:noWrap/>
            <w:vAlign w:val="bottom"/>
            <w:hideMark/>
          </w:tcPr>
          <w:p w14:paraId="272CE0F5"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0.0054</w:t>
            </w:r>
          </w:p>
        </w:tc>
      </w:tr>
      <w:tr w:rsidR="0014026B" w14:paraId="0799EDD2" w14:textId="77777777" w:rsidTr="0014026B">
        <w:trPr>
          <w:trHeight w:val="286"/>
        </w:trPr>
        <w:tc>
          <w:tcPr>
            <w:tcW w:w="1425" w:type="dxa"/>
            <w:tcBorders>
              <w:top w:val="nil"/>
              <w:left w:val="single" w:sz="4" w:space="0" w:color="auto"/>
              <w:bottom w:val="single" w:sz="4" w:space="0" w:color="auto"/>
              <w:right w:val="single" w:sz="4" w:space="0" w:color="auto"/>
            </w:tcBorders>
            <w:noWrap/>
            <w:hideMark/>
          </w:tcPr>
          <w:p w14:paraId="5B32FFC0" w14:textId="77777777" w:rsidR="0014026B" w:rsidRDefault="0062217F">
            <w:pPr>
              <w:spacing w:after="0" w:line="240" w:lineRule="auto"/>
              <w:rPr>
                <w:rFonts w:ascii="Calibri" w:eastAsia="Times New Roman" w:hAnsi="Calibri" w:cs="Times New Roman"/>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5</m:t>
                    </m:r>
                  </m:sub>
                </m:sSub>
              </m:oMath>
            </m:oMathPara>
          </w:p>
        </w:tc>
        <w:tc>
          <w:tcPr>
            <w:tcW w:w="1335" w:type="dxa"/>
            <w:tcBorders>
              <w:top w:val="nil"/>
              <w:left w:val="nil"/>
              <w:bottom w:val="single" w:sz="4" w:space="0" w:color="auto"/>
              <w:right w:val="single" w:sz="4" w:space="0" w:color="auto"/>
            </w:tcBorders>
            <w:noWrap/>
            <w:vAlign w:val="bottom"/>
            <w:hideMark/>
          </w:tcPr>
          <w:p w14:paraId="4E8A5C37"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0.0001</w:t>
            </w:r>
          </w:p>
        </w:tc>
        <w:tc>
          <w:tcPr>
            <w:tcW w:w="1335" w:type="dxa"/>
            <w:tcBorders>
              <w:top w:val="nil"/>
              <w:left w:val="nil"/>
              <w:bottom w:val="single" w:sz="4" w:space="0" w:color="auto"/>
              <w:right w:val="single" w:sz="4" w:space="0" w:color="auto"/>
            </w:tcBorders>
            <w:noWrap/>
            <w:vAlign w:val="bottom"/>
            <w:hideMark/>
          </w:tcPr>
          <w:p w14:paraId="2D00804D"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0.0016</w:t>
            </w:r>
          </w:p>
        </w:tc>
        <w:tc>
          <w:tcPr>
            <w:tcW w:w="987" w:type="dxa"/>
            <w:tcBorders>
              <w:top w:val="nil"/>
              <w:left w:val="nil"/>
              <w:bottom w:val="single" w:sz="4" w:space="0" w:color="auto"/>
              <w:right w:val="single" w:sz="4" w:space="0" w:color="auto"/>
            </w:tcBorders>
            <w:noWrap/>
            <w:vAlign w:val="bottom"/>
            <w:hideMark/>
          </w:tcPr>
          <w:p w14:paraId="0746C70B"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0.05</w:t>
            </w:r>
          </w:p>
        </w:tc>
        <w:tc>
          <w:tcPr>
            <w:tcW w:w="897" w:type="dxa"/>
            <w:tcBorders>
              <w:top w:val="nil"/>
              <w:left w:val="nil"/>
              <w:bottom w:val="single" w:sz="4" w:space="0" w:color="auto"/>
              <w:right w:val="single" w:sz="4" w:space="0" w:color="auto"/>
            </w:tcBorders>
            <w:noWrap/>
            <w:vAlign w:val="bottom"/>
            <w:hideMark/>
          </w:tcPr>
          <w:p w14:paraId="414EA5E5"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0.962</w:t>
            </w:r>
          </w:p>
        </w:tc>
        <w:tc>
          <w:tcPr>
            <w:tcW w:w="1646" w:type="dxa"/>
            <w:tcBorders>
              <w:top w:val="nil"/>
              <w:left w:val="nil"/>
              <w:bottom w:val="single" w:sz="4" w:space="0" w:color="auto"/>
              <w:right w:val="single" w:sz="4" w:space="0" w:color="auto"/>
            </w:tcBorders>
            <w:noWrap/>
            <w:vAlign w:val="bottom"/>
            <w:hideMark/>
          </w:tcPr>
          <w:p w14:paraId="013F252D"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-0.0030</w:t>
            </w:r>
          </w:p>
        </w:tc>
        <w:tc>
          <w:tcPr>
            <w:tcW w:w="1347" w:type="dxa"/>
            <w:tcBorders>
              <w:top w:val="nil"/>
              <w:left w:val="nil"/>
              <w:bottom w:val="single" w:sz="4" w:space="0" w:color="auto"/>
              <w:right w:val="single" w:sz="4" w:space="0" w:color="auto"/>
            </w:tcBorders>
            <w:noWrap/>
            <w:vAlign w:val="bottom"/>
            <w:hideMark/>
          </w:tcPr>
          <w:p w14:paraId="6E81E0CC"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0.0032</w:t>
            </w:r>
          </w:p>
        </w:tc>
      </w:tr>
      <w:tr w:rsidR="0014026B" w14:paraId="4B786E52" w14:textId="77777777" w:rsidTr="0014026B">
        <w:trPr>
          <w:trHeight w:val="286"/>
        </w:trPr>
        <w:tc>
          <w:tcPr>
            <w:tcW w:w="1425" w:type="dxa"/>
            <w:tcBorders>
              <w:top w:val="nil"/>
              <w:left w:val="single" w:sz="4" w:space="0" w:color="auto"/>
              <w:bottom w:val="single" w:sz="4" w:space="0" w:color="auto"/>
              <w:right w:val="single" w:sz="4" w:space="0" w:color="auto"/>
            </w:tcBorders>
            <w:noWrap/>
            <w:hideMark/>
          </w:tcPr>
          <w:p w14:paraId="37454C1C" w14:textId="77777777" w:rsidR="0014026B" w:rsidRDefault="0062217F">
            <w:pPr>
              <w:spacing w:after="0" w:line="240" w:lineRule="auto"/>
              <w:rPr>
                <w:rFonts w:ascii="Calibri" w:eastAsia="Times New Roman" w:hAnsi="Calibri" w:cs="Times New Roman"/>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d</m:t>
                    </m:r>
                  </m:e>
                  <m:sub>
                    <m:r>
                      <w:rPr>
                        <w:rFonts w:ascii="Cambria Math" w:eastAsiaTheme="minorEastAsia" w:hAnsi="Cambria Math"/>
                        <w:sz w:val="24"/>
                        <w:szCs w:val="24"/>
                        <w:lang w:val="es-CL"/>
                      </w:rPr>
                      <m:t>6</m:t>
                    </m:r>
                  </m:sub>
                </m:sSub>
              </m:oMath>
            </m:oMathPara>
          </w:p>
        </w:tc>
        <w:tc>
          <w:tcPr>
            <w:tcW w:w="1335" w:type="dxa"/>
            <w:tcBorders>
              <w:top w:val="nil"/>
              <w:left w:val="nil"/>
              <w:bottom w:val="single" w:sz="4" w:space="0" w:color="auto"/>
              <w:right w:val="single" w:sz="4" w:space="0" w:color="auto"/>
            </w:tcBorders>
            <w:noWrap/>
            <w:vAlign w:val="bottom"/>
            <w:hideMark/>
          </w:tcPr>
          <w:p w14:paraId="78859833"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-0.0021</w:t>
            </w:r>
          </w:p>
        </w:tc>
        <w:tc>
          <w:tcPr>
            <w:tcW w:w="1335" w:type="dxa"/>
            <w:tcBorders>
              <w:top w:val="nil"/>
              <w:left w:val="nil"/>
              <w:bottom w:val="single" w:sz="4" w:space="0" w:color="auto"/>
              <w:right w:val="single" w:sz="4" w:space="0" w:color="auto"/>
            </w:tcBorders>
            <w:noWrap/>
            <w:vAlign w:val="bottom"/>
            <w:hideMark/>
          </w:tcPr>
          <w:p w14:paraId="382CC80D"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0.0019</w:t>
            </w:r>
          </w:p>
        </w:tc>
        <w:tc>
          <w:tcPr>
            <w:tcW w:w="987" w:type="dxa"/>
            <w:tcBorders>
              <w:top w:val="nil"/>
              <w:left w:val="nil"/>
              <w:bottom w:val="single" w:sz="4" w:space="0" w:color="auto"/>
              <w:right w:val="single" w:sz="4" w:space="0" w:color="auto"/>
            </w:tcBorders>
            <w:noWrap/>
            <w:vAlign w:val="bottom"/>
            <w:hideMark/>
          </w:tcPr>
          <w:p w14:paraId="29036760"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-1.14</w:t>
            </w:r>
          </w:p>
        </w:tc>
        <w:tc>
          <w:tcPr>
            <w:tcW w:w="897" w:type="dxa"/>
            <w:tcBorders>
              <w:top w:val="nil"/>
              <w:left w:val="nil"/>
              <w:bottom w:val="single" w:sz="4" w:space="0" w:color="auto"/>
              <w:right w:val="single" w:sz="4" w:space="0" w:color="auto"/>
            </w:tcBorders>
            <w:noWrap/>
            <w:vAlign w:val="bottom"/>
            <w:hideMark/>
          </w:tcPr>
          <w:p w14:paraId="02A1A0C0"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0.256</w:t>
            </w:r>
          </w:p>
        </w:tc>
        <w:tc>
          <w:tcPr>
            <w:tcW w:w="1646" w:type="dxa"/>
            <w:tcBorders>
              <w:top w:val="nil"/>
              <w:left w:val="nil"/>
              <w:bottom w:val="single" w:sz="4" w:space="0" w:color="auto"/>
              <w:right w:val="single" w:sz="4" w:space="0" w:color="auto"/>
            </w:tcBorders>
            <w:noWrap/>
            <w:vAlign w:val="bottom"/>
            <w:hideMark/>
          </w:tcPr>
          <w:p w14:paraId="0DA0952F"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-0.0058</w:t>
            </w:r>
          </w:p>
        </w:tc>
        <w:tc>
          <w:tcPr>
            <w:tcW w:w="1347" w:type="dxa"/>
            <w:tcBorders>
              <w:top w:val="nil"/>
              <w:left w:val="nil"/>
              <w:bottom w:val="single" w:sz="4" w:space="0" w:color="auto"/>
              <w:right w:val="single" w:sz="4" w:space="0" w:color="auto"/>
            </w:tcBorders>
            <w:noWrap/>
            <w:vAlign w:val="bottom"/>
            <w:hideMark/>
          </w:tcPr>
          <w:p w14:paraId="6487DEBA"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0.0015</w:t>
            </w:r>
          </w:p>
        </w:tc>
      </w:tr>
      <w:tr w:rsidR="0014026B" w14:paraId="51E9E68A" w14:textId="77777777" w:rsidTr="0014026B">
        <w:trPr>
          <w:trHeight w:val="286"/>
        </w:trPr>
        <w:tc>
          <w:tcPr>
            <w:tcW w:w="1425" w:type="dxa"/>
            <w:tcBorders>
              <w:top w:val="nil"/>
              <w:left w:val="single" w:sz="4" w:space="0" w:color="auto"/>
              <w:bottom w:val="single" w:sz="4" w:space="0" w:color="auto"/>
              <w:right w:val="single" w:sz="4" w:space="0" w:color="auto"/>
            </w:tcBorders>
            <w:noWrap/>
            <w:vAlign w:val="bottom"/>
            <w:hideMark/>
          </w:tcPr>
          <w:p w14:paraId="662D1714" w14:textId="11788E7C" w:rsidR="0014026B" w:rsidRDefault="0014026B">
            <w:pPr>
              <w:spacing w:after="0" w:line="240" w:lineRule="auto"/>
              <w:rPr>
                <w:rFonts w:ascii="Calibri" w:eastAsia="Times New Roman" w:hAnsi="Calibri" w:cs="Times New Roman"/>
                <w:color w:val="000000"/>
                <w:lang w:val="es-CL" w:eastAsia="es-CL"/>
              </w:rPr>
            </w:pPr>
            <w:r>
              <w:rPr>
                <w:rFonts w:ascii="Calibri" w:eastAsia="Times New Roman" w:hAnsi="Calibri" w:cs="Calibri"/>
                <w:color w:val="000000"/>
                <w:lang w:val="es-CL" w:eastAsia="es-CL"/>
              </w:rPr>
              <w:t>Chile</w:t>
            </w:r>
            <w:r w:rsidR="00796505">
              <w:rPr>
                <w:rFonts w:ascii="Calibri" w:eastAsia="Times New Roman" w:hAnsi="Calibri" w:cs="Calibri"/>
                <w:color w:val="000000"/>
                <w:lang w:val="es-CL" w:eastAsia="es-CL"/>
              </w:rPr>
              <w:t xml:space="preserve"> Inf.</w:t>
            </w:r>
            <w:r>
              <w:rPr>
                <w:rFonts w:ascii="Calibri" w:eastAsia="Times New Roman" w:hAnsi="Calibri" w:cs="Calibri"/>
                <w:color w:val="000000"/>
                <w:lang w:val="es-CL" w:eastAsia="es-CL"/>
              </w:rPr>
              <w:t xml:space="preserve"> </w:t>
            </w:r>
            <m:oMath>
              <m:sSub>
                <m:sSubPr>
                  <m:ctrlPr>
                    <w:rPr>
                      <w:rFonts w:ascii="Cambria Math" w:eastAsia="Times New Roman" w:hAnsi="Cambria Math" w:cs="Calibri"/>
                      <w:iCs/>
                      <w:color w:val="000000"/>
                    </w:rPr>
                  </m:ctrlPr>
                </m:sSubPr>
                <m:e>
                  <m:r>
                    <m:rPr>
                      <m:sty m:val="p"/>
                    </m:rPr>
                    <w:rPr>
                      <w:rFonts w:ascii="Cambria Math" w:eastAsia="Times New Roman" w:hAnsi="Cambria Math" w:cs="Calibri"/>
                      <w:color w:val="000000"/>
                    </w:rPr>
                    <m:t>L</m:t>
                  </m:r>
                </m:e>
                <m:sub>
                  <m:r>
                    <m:rPr>
                      <m:sty m:val="p"/>
                    </m:rPr>
                    <w:rPr>
                      <w:rFonts w:ascii="Cambria Math" w:eastAsia="Times New Roman" w:hAnsi="Cambria Math" w:cs="Calibri"/>
                      <w:color w:val="000000"/>
                    </w:rPr>
                    <m:t>1</m:t>
                  </m:r>
                </m:sub>
              </m:sSub>
            </m:oMath>
          </w:p>
        </w:tc>
        <w:tc>
          <w:tcPr>
            <w:tcW w:w="1335" w:type="dxa"/>
            <w:tcBorders>
              <w:top w:val="nil"/>
              <w:left w:val="nil"/>
              <w:bottom w:val="single" w:sz="4" w:space="0" w:color="auto"/>
              <w:right w:val="single" w:sz="4" w:space="0" w:color="auto"/>
            </w:tcBorders>
            <w:noWrap/>
            <w:vAlign w:val="bottom"/>
            <w:hideMark/>
          </w:tcPr>
          <w:p w14:paraId="6ADB4B8E"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0.3285</w:t>
            </w:r>
          </w:p>
        </w:tc>
        <w:tc>
          <w:tcPr>
            <w:tcW w:w="1335" w:type="dxa"/>
            <w:tcBorders>
              <w:top w:val="nil"/>
              <w:left w:val="nil"/>
              <w:bottom w:val="single" w:sz="4" w:space="0" w:color="auto"/>
              <w:right w:val="single" w:sz="4" w:space="0" w:color="auto"/>
            </w:tcBorders>
            <w:noWrap/>
            <w:vAlign w:val="bottom"/>
            <w:hideMark/>
          </w:tcPr>
          <w:p w14:paraId="79EE7900"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0.0738</w:t>
            </w:r>
          </w:p>
        </w:tc>
        <w:tc>
          <w:tcPr>
            <w:tcW w:w="987" w:type="dxa"/>
            <w:tcBorders>
              <w:top w:val="nil"/>
              <w:left w:val="nil"/>
              <w:bottom w:val="single" w:sz="4" w:space="0" w:color="auto"/>
              <w:right w:val="single" w:sz="4" w:space="0" w:color="auto"/>
            </w:tcBorders>
            <w:noWrap/>
            <w:vAlign w:val="bottom"/>
            <w:hideMark/>
          </w:tcPr>
          <w:p w14:paraId="4CA4DCED"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4.45</w:t>
            </w:r>
          </w:p>
        </w:tc>
        <w:tc>
          <w:tcPr>
            <w:tcW w:w="897" w:type="dxa"/>
            <w:tcBorders>
              <w:top w:val="nil"/>
              <w:left w:val="nil"/>
              <w:bottom w:val="single" w:sz="4" w:space="0" w:color="auto"/>
              <w:right w:val="single" w:sz="4" w:space="0" w:color="auto"/>
            </w:tcBorders>
            <w:noWrap/>
            <w:vAlign w:val="bottom"/>
            <w:hideMark/>
          </w:tcPr>
          <w:p w14:paraId="6BBC4789"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w:t>
            </w:r>
          </w:p>
        </w:tc>
        <w:tc>
          <w:tcPr>
            <w:tcW w:w="1646" w:type="dxa"/>
            <w:tcBorders>
              <w:top w:val="nil"/>
              <w:left w:val="nil"/>
              <w:bottom w:val="single" w:sz="4" w:space="0" w:color="auto"/>
              <w:right w:val="single" w:sz="4" w:space="0" w:color="auto"/>
            </w:tcBorders>
            <w:noWrap/>
            <w:vAlign w:val="bottom"/>
            <w:hideMark/>
          </w:tcPr>
          <w:p w14:paraId="31115200"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0.1839</w:t>
            </w:r>
          </w:p>
        </w:tc>
        <w:tc>
          <w:tcPr>
            <w:tcW w:w="1347" w:type="dxa"/>
            <w:tcBorders>
              <w:top w:val="nil"/>
              <w:left w:val="nil"/>
              <w:bottom w:val="single" w:sz="4" w:space="0" w:color="auto"/>
              <w:right w:val="single" w:sz="4" w:space="0" w:color="auto"/>
            </w:tcBorders>
            <w:noWrap/>
            <w:vAlign w:val="bottom"/>
            <w:hideMark/>
          </w:tcPr>
          <w:p w14:paraId="00838DF7"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0.4732</w:t>
            </w:r>
          </w:p>
        </w:tc>
      </w:tr>
      <w:tr w:rsidR="00796505" w14:paraId="0ADB9979" w14:textId="77777777" w:rsidTr="0014026B">
        <w:trPr>
          <w:trHeight w:val="286"/>
        </w:trPr>
        <w:tc>
          <w:tcPr>
            <w:tcW w:w="1425" w:type="dxa"/>
            <w:tcBorders>
              <w:top w:val="nil"/>
              <w:left w:val="single" w:sz="4" w:space="0" w:color="auto"/>
              <w:bottom w:val="single" w:sz="4" w:space="0" w:color="auto"/>
              <w:right w:val="single" w:sz="4" w:space="0" w:color="auto"/>
            </w:tcBorders>
            <w:noWrap/>
            <w:vAlign w:val="bottom"/>
            <w:hideMark/>
          </w:tcPr>
          <w:p w14:paraId="153E239D" w14:textId="7A532469" w:rsidR="00796505" w:rsidRDefault="00796505" w:rsidP="00796505">
            <w:pPr>
              <w:spacing w:after="0" w:line="240" w:lineRule="auto"/>
              <w:rPr>
                <w:rFonts w:ascii="Calibri" w:eastAsia="Times New Roman" w:hAnsi="Calibri" w:cs="Times New Roman"/>
                <w:color w:val="000000"/>
                <w:lang w:val="es-CL" w:eastAsia="es-CL"/>
              </w:rPr>
            </w:pPr>
            <m:oMath>
              <m:r>
                <w:rPr>
                  <w:rFonts w:ascii="Cambria Math" w:eastAsia="Times New Roman" w:hAnsi="Cambria Math" w:cs="Calibri"/>
                  <w:color w:val="000000"/>
                  <w:lang w:val="es-CL" w:eastAsia="es-CL"/>
                </w:rPr>
                <m:t>∆</m:t>
              </m:r>
            </m:oMath>
            <w:r>
              <w:rPr>
                <w:rFonts w:ascii="Calibri" w:eastAsia="Times New Roman" w:hAnsi="Calibri" w:cs="Calibri"/>
                <w:color w:val="000000"/>
                <w:lang w:val="es-CL" w:eastAsia="es-CL"/>
              </w:rPr>
              <w:t xml:space="preserve"> TPM </w:t>
            </w:r>
            <m:oMath>
              <m:sSub>
                <m:sSubPr>
                  <m:ctrlPr>
                    <w:rPr>
                      <w:rFonts w:ascii="Cambria Math" w:eastAsia="Times New Roman" w:hAnsi="Cambria Math" w:cs="Calibri"/>
                      <w:iCs/>
                      <w:color w:val="000000"/>
                    </w:rPr>
                  </m:ctrlPr>
                </m:sSubPr>
                <m:e>
                  <m:r>
                    <m:rPr>
                      <m:sty m:val="p"/>
                    </m:rPr>
                    <w:rPr>
                      <w:rFonts w:ascii="Cambria Math" w:eastAsia="Times New Roman" w:hAnsi="Cambria Math" w:cs="Calibri"/>
                      <w:color w:val="000000"/>
                    </w:rPr>
                    <m:t>L</m:t>
                  </m:r>
                </m:e>
                <m:sub>
                  <m:r>
                    <m:rPr>
                      <m:sty m:val="p"/>
                    </m:rPr>
                    <w:rPr>
                      <w:rFonts w:ascii="Cambria Math" w:eastAsia="Times New Roman" w:hAnsi="Cambria Math" w:cs="Calibri"/>
                      <w:color w:val="000000"/>
                    </w:rPr>
                    <m:t>1</m:t>
                  </m:r>
                </m:sub>
              </m:sSub>
            </m:oMath>
          </w:p>
        </w:tc>
        <w:tc>
          <w:tcPr>
            <w:tcW w:w="1335" w:type="dxa"/>
            <w:tcBorders>
              <w:top w:val="nil"/>
              <w:left w:val="nil"/>
              <w:bottom w:val="single" w:sz="4" w:space="0" w:color="auto"/>
              <w:right w:val="single" w:sz="4" w:space="0" w:color="auto"/>
            </w:tcBorders>
            <w:noWrap/>
            <w:vAlign w:val="bottom"/>
            <w:hideMark/>
          </w:tcPr>
          <w:p w14:paraId="0BE8F70F" w14:textId="77777777" w:rsidR="00796505" w:rsidRDefault="00796505" w:rsidP="00796505">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0.0021</w:t>
            </w:r>
          </w:p>
        </w:tc>
        <w:tc>
          <w:tcPr>
            <w:tcW w:w="1335" w:type="dxa"/>
            <w:tcBorders>
              <w:top w:val="nil"/>
              <w:left w:val="nil"/>
              <w:bottom w:val="single" w:sz="4" w:space="0" w:color="auto"/>
              <w:right w:val="single" w:sz="4" w:space="0" w:color="auto"/>
            </w:tcBorders>
            <w:noWrap/>
            <w:vAlign w:val="bottom"/>
            <w:hideMark/>
          </w:tcPr>
          <w:p w14:paraId="035AB6B2" w14:textId="77777777" w:rsidR="00796505" w:rsidRDefault="00796505" w:rsidP="00796505">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0.0020</w:t>
            </w:r>
          </w:p>
        </w:tc>
        <w:tc>
          <w:tcPr>
            <w:tcW w:w="987" w:type="dxa"/>
            <w:tcBorders>
              <w:top w:val="nil"/>
              <w:left w:val="nil"/>
              <w:bottom w:val="single" w:sz="4" w:space="0" w:color="auto"/>
              <w:right w:val="single" w:sz="4" w:space="0" w:color="auto"/>
            </w:tcBorders>
            <w:noWrap/>
            <w:vAlign w:val="bottom"/>
            <w:hideMark/>
          </w:tcPr>
          <w:p w14:paraId="4A1F7FA3" w14:textId="77777777" w:rsidR="00796505" w:rsidRDefault="00796505" w:rsidP="00796505">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1.08</w:t>
            </w:r>
          </w:p>
        </w:tc>
        <w:tc>
          <w:tcPr>
            <w:tcW w:w="897" w:type="dxa"/>
            <w:tcBorders>
              <w:top w:val="nil"/>
              <w:left w:val="nil"/>
              <w:bottom w:val="single" w:sz="4" w:space="0" w:color="auto"/>
              <w:right w:val="single" w:sz="4" w:space="0" w:color="auto"/>
            </w:tcBorders>
            <w:noWrap/>
            <w:vAlign w:val="bottom"/>
            <w:hideMark/>
          </w:tcPr>
          <w:p w14:paraId="35707A2A" w14:textId="77777777" w:rsidR="00796505" w:rsidRDefault="00796505" w:rsidP="00796505">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0.278</w:t>
            </w:r>
          </w:p>
        </w:tc>
        <w:tc>
          <w:tcPr>
            <w:tcW w:w="1646" w:type="dxa"/>
            <w:tcBorders>
              <w:top w:val="nil"/>
              <w:left w:val="nil"/>
              <w:bottom w:val="single" w:sz="4" w:space="0" w:color="auto"/>
              <w:right w:val="single" w:sz="4" w:space="0" w:color="auto"/>
            </w:tcBorders>
            <w:noWrap/>
            <w:vAlign w:val="bottom"/>
            <w:hideMark/>
          </w:tcPr>
          <w:p w14:paraId="370B70F4" w14:textId="77777777" w:rsidR="00796505" w:rsidRDefault="00796505" w:rsidP="00796505">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-0.0017</w:t>
            </w:r>
          </w:p>
        </w:tc>
        <w:tc>
          <w:tcPr>
            <w:tcW w:w="1347" w:type="dxa"/>
            <w:tcBorders>
              <w:top w:val="nil"/>
              <w:left w:val="nil"/>
              <w:bottom w:val="single" w:sz="4" w:space="0" w:color="auto"/>
              <w:right w:val="single" w:sz="4" w:space="0" w:color="auto"/>
            </w:tcBorders>
            <w:noWrap/>
            <w:vAlign w:val="bottom"/>
            <w:hideMark/>
          </w:tcPr>
          <w:p w14:paraId="4CF9165C" w14:textId="77777777" w:rsidR="00796505" w:rsidRDefault="00796505" w:rsidP="00796505">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0.0060</w:t>
            </w:r>
          </w:p>
        </w:tc>
      </w:tr>
      <w:tr w:rsidR="00796505" w14:paraId="59C95C96" w14:textId="77777777" w:rsidTr="0014026B">
        <w:trPr>
          <w:trHeight w:val="286"/>
        </w:trPr>
        <w:tc>
          <w:tcPr>
            <w:tcW w:w="1425" w:type="dxa"/>
            <w:tcBorders>
              <w:top w:val="nil"/>
              <w:left w:val="single" w:sz="4" w:space="0" w:color="auto"/>
              <w:bottom w:val="single" w:sz="4" w:space="0" w:color="auto"/>
              <w:right w:val="single" w:sz="4" w:space="0" w:color="auto"/>
            </w:tcBorders>
            <w:noWrap/>
            <w:vAlign w:val="bottom"/>
            <w:hideMark/>
          </w:tcPr>
          <w:p w14:paraId="259B6677" w14:textId="7E2E9C07" w:rsidR="00796505" w:rsidRDefault="00796505" w:rsidP="00796505">
            <w:pPr>
              <w:spacing w:after="0" w:line="240" w:lineRule="auto"/>
              <w:rPr>
                <w:rFonts w:ascii="Calibri" w:eastAsia="Times New Roman" w:hAnsi="Calibri" w:cs="Times New Roman"/>
                <w:color w:val="000000"/>
                <w:lang w:val="es-CL" w:eastAsia="es-CL"/>
              </w:rPr>
            </w:pPr>
            <m:oMath>
              <m:r>
                <w:rPr>
                  <w:rFonts w:ascii="Cambria Math" w:eastAsia="Times New Roman" w:hAnsi="Cambria Math" w:cs="Calibri"/>
                  <w:color w:val="000000"/>
                  <w:lang w:val="es-CL" w:eastAsia="es-CL"/>
                </w:rPr>
                <m:t>∆</m:t>
              </m:r>
            </m:oMath>
            <w:r>
              <w:rPr>
                <w:rFonts w:ascii="Calibri" w:eastAsia="Times New Roman" w:hAnsi="Calibri" w:cs="Calibri"/>
                <w:color w:val="000000"/>
                <w:lang w:val="es-CL" w:eastAsia="es-CL"/>
              </w:rPr>
              <w:t xml:space="preserve"> TPM </w:t>
            </w:r>
            <m:oMath>
              <m:sSub>
                <m:sSubPr>
                  <m:ctrlPr>
                    <w:rPr>
                      <w:rFonts w:ascii="Cambria Math" w:eastAsia="Times New Roman" w:hAnsi="Cambria Math" w:cs="Calibri"/>
                      <w:iCs/>
                      <w:color w:val="000000"/>
                    </w:rPr>
                  </m:ctrlPr>
                </m:sSubPr>
                <m:e>
                  <m:r>
                    <m:rPr>
                      <m:sty m:val="p"/>
                    </m:rPr>
                    <w:rPr>
                      <w:rFonts w:ascii="Cambria Math" w:eastAsia="Times New Roman" w:hAnsi="Cambria Math" w:cs="Calibri"/>
                      <w:color w:val="000000"/>
                    </w:rPr>
                    <m:t>L</m:t>
                  </m:r>
                </m:e>
                <m:sub>
                  <m:r>
                    <w:rPr>
                      <w:rFonts w:ascii="Cambria Math" w:eastAsia="Times New Roman" w:hAnsi="Cambria Math" w:cs="Calibri"/>
                      <w:color w:val="000000"/>
                    </w:rPr>
                    <m:t>2</m:t>
                  </m:r>
                </m:sub>
              </m:sSub>
            </m:oMath>
          </w:p>
        </w:tc>
        <w:tc>
          <w:tcPr>
            <w:tcW w:w="1335" w:type="dxa"/>
            <w:tcBorders>
              <w:top w:val="nil"/>
              <w:left w:val="nil"/>
              <w:bottom w:val="single" w:sz="4" w:space="0" w:color="auto"/>
              <w:right w:val="single" w:sz="4" w:space="0" w:color="auto"/>
            </w:tcBorders>
            <w:noWrap/>
            <w:vAlign w:val="bottom"/>
            <w:hideMark/>
          </w:tcPr>
          <w:p w14:paraId="55B69CD9" w14:textId="77777777" w:rsidR="00796505" w:rsidRDefault="00796505" w:rsidP="00796505">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-0.0009</w:t>
            </w:r>
          </w:p>
        </w:tc>
        <w:tc>
          <w:tcPr>
            <w:tcW w:w="1335" w:type="dxa"/>
            <w:tcBorders>
              <w:top w:val="nil"/>
              <w:left w:val="nil"/>
              <w:bottom w:val="single" w:sz="4" w:space="0" w:color="auto"/>
              <w:right w:val="single" w:sz="4" w:space="0" w:color="auto"/>
            </w:tcBorders>
            <w:noWrap/>
            <w:vAlign w:val="bottom"/>
            <w:hideMark/>
          </w:tcPr>
          <w:p w14:paraId="59AC24D2" w14:textId="77777777" w:rsidR="00796505" w:rsidRDefault="00796505" w:rsidP="00796505">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0.0025</w:t>
            </w:r>
          </w:p>
        </w:tc>
        <w:tc>
          <w:tcPr>
            <w:tcW w:w="987" w:type="dxa"/>
            <w:tcBorders>
              <w:top w:val="nil"/>
              <w:left w:val="nil"/>
              <w:bottom w:val="single" w:sz="4" w:space="0" w:color="auto"/>
              <w:right w:val="single" w:sz="4" w:space="0" w:color="auto"/>
            </w:tcBorders>
            <w:noWrap/>
            <w:vAlign w:val="bottom"/>
            <w:hideMark/>
          </w:tcPr>
          <w:p w14:paraId="3C0D6D06" w14:textId="77777777" w:rsidR="00796505" w:rsidRDefault="00796505" w:rsidP="00796505">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-0.34</w:t>
            </w:r>
          </w:p>
        </w:tc>
        <w:tc>
          <w:tcPr>
            <w:tcW w:w="897" w:type="dxa"/>
            <w:tcBorders>
              <w:top w:val="nil"/>
              <w:left w:val="nil"/>
              <w:bottom w:val="single" w:sz="4" w:space="0" w:color="auto"/>
              <w:right w:val="single" w:sz="4" w:space="0" w:color="auto"/>
            </w:tcBorders>
            <w:noWrap/>
            <w:vAlign w:val="bottom"/>
            <w:hideMark/>
          </w:tcPr>
          <w:p w14:paraId="6A1C45C3" w14:textId="77777777" w:rsidR="00796505" w:rsidRDefault="00796505" w:rsidP="00796505">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0.735</w:t>
            </w:r>
          </w:p>
        </w:tc>
        <w:tc>
          <w:tcPr>
            <w:tcW w:w="1646" w:type="dxa"/>
            <w:tcBorders>
              <w:top w:val="nil"/>
              <w:left w:val="nil"/>
              <w:bottom w:val="single" w:sz="4" w:space="0" w:color="auto"/>
              <w:right w:val="single" w:sz="4" w:space="0" w:color="auto"/>
            </w:tcBorders>
            <w:noWrap/>
            <w:vAlign w:val="bottom"/>
            <w:hideMark/>
          </w:tcPr>
          <w:p w14:paraId="59AD27B9" w14:textId="77777777" w:rsidR="00796505" w:rsidRDefault="00796505" w:rsidP="00796505">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-0.0058</w:t>
            </w:r>
          </w:p>
        </w:tc>
        <w:tc>
          <w:tcPr>
            <w:tcW w:w="1347" w:type="dxa"/>
            <w:tcBorders>
              <w:top w:val="nil"/>
              <w:left w:val="nil"/>
              <w:bottom w:val="single" w:sz="4" w:space="0" w:color="auto"/>
              <w:right w:val="single" w:sz="4" w:space="0" w:color="auto"/>
            </w:tcBorders>
            <w:noWrap/>
            <w:vAlign w:val="bottom"/>
            <w:hideMark/>
          </w:tcPr>
          <w:p w14:paraId="62D9D4E6" w14:textId="77777777" w:rsidR="00796505" w:rsidRDefault="00796505" w:rsidP="00796505">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0.0041</w:t>
            </w:r>
          </w:p>
        </w:tc>
      </w:tr>
      <w:tr w:rsidR="00796505" w14:paraId="482E0BC9" w14:textId="77777777" w:rsidTr="0014026B">
        <w:trPr>
          <w:trHeight w:val="286"/>
        </w:trPr>
        <w:tc>
          <w:tcPr>
            <w:tcW w:w="1425" w:type="dxa"/>
            <w:tcBorders>
              <w:top w:val="nil"/>
              <w:left w:val="single" w:sz="4" w:space="0" w:color="auto"/>
              <w:bottom w:val="single" w:sz="4" w:space="0" w:color="auto"/>
              <w:right w:val="single" w:sz="4" w:space="0" w:color="auto"/>
            </w:tcBorders>
            <w:noWrap/>
            <w:vAlign w:val="bottom"/>
            <w:hideMark/>
          </w:tcPr>
          <w:p w14:paraId="1CF1C8F3" w14:textId="650126DC" w:rsidR="00796505" w:rsidRDefault="00796505" w:rsidP="00796505">
            <w:pPr>
              <w:spacing w:after="0" w:line="240" w:lineRule="auto"/>
              <w:rPr>
                <w:rFonts w:ascii="Calibri" w:eastAsia="Times New Roman" w:hAnsi="Calibri" w:cs="Times New Roman"/>
                <w:color w:val="000000"/>
                <w:lang w:val="es-CL" w:eastAsia="es-CL"/>
              </w:rPr>
            </w:pPr>
            <m:oMath>
              <m:r>
                <w:rPr>
                  <w:rFonts w:ascii="Cambria Math" w:eastAsia="Times New Roman" w:hAnsi="Cambria Math" w:cs="Calibri"/>
                  <w:color w:val="000000"/>
                  <w:lang w:val="es-CL" w:eastAsia="es-CL"/>
                </w:rPr>
                <m:t>∆</m:t>
              </m:r>
            </m:oMath>
            <w:r>
              <w:rPr>
                <w:rFonts w:ascii="Calibri" w:eastAsia="Times New Roman" w:hAnsi="Calibri" w:cs="Calibri"/>
                <w:color w:val="000000"/>
                <w:lang w:val="es-CL" w:eastAsia="es-CL"/>
              </w:rPr>
              <w:t xml:space="preserve"> TPM </w:t>
            </w:r>
            <m:oMath>
              <m:sSub>
                <m:sSubPr>
                  <m:ctrlPr>
                    <w:rPr>
                      <w:rFonts w:ascii="Cambria Math" w:eastAsia="Times New Roman" w:hAnsi="Cambria Math" w:cs="Calibri"/>
                      <w:iCs/>
                      <w:color w:val="000000"/>
                    </w:rPr>
                  </m:ctrlPr>
                </m:sSubPr>
                <m:e>
                  <m:r>
                    <m:rPr>
                      <m:sty m:val="p"/>
                    </m:rPr>
                    <w:rPr>
                      <w:rFonts w:ascii="Cambria Math" w:eastAsia="Times New Roman" w:hAnsi="Cambria Math" w:cs="Calibri"/>
                      <w:color w:val="000000"/>
                    </w:rPr>
                    <m:t>L</m:t>
                  </m:r>
                </m:e>
                <m:sub>
                  <m:r>
                    <w:rPr>
                      <w:rFonts w:ascii="Cambria Math" w:eastAsia="Times New Roman" w:hAnsi="Cambria Math" w:cs="Calibri"/>
                      <w:color w:val="000000"/>
                    </w:rPr>
                    <m:t>3</m:t>
                  </m:r>
                </m:sub>
              </m:sSub>
            </m:oMath>
          </w:p>
        </w:tc>
        <w:tc>
          <w:tcPr>
            <w:tcW w:w="1335" w:type="dxa"/>
            <w:tcBorders>
              <w:top w:val="nil"/>
              <w:left w:val="nil"/>
              <w:bottom w:val="single" w:sz="4" w:space="0" w:color="auto"/>
              <w:right w:val="single" w:sz="4" w:space="0" w:color="auto"/>
            </w:tcBorders>
            <w:noWrap/>
            <w:vAlign w:val="bottom"/>
            <w:hideMark/>
          </w:tcPr>
          <w:p w14:paraId="02B6DFAF" w14:textId="77777777" w:rsidR="00796505" w:rsidRDefault="00796505" w:rsidP="00796505">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0.0020</w:t>
            </w:r>
          </w:p>
        </w:tc>
        <w:tc>
          <w:tcPr>
            <w:tcW w:w="1335" w:type="dxa"/>
            <w:tcBorders>
              <w:top w:val="nil"/>
              <w:left w:val="nil"/>
              <w:bottom w:val="single" w:sz="4" w:space="0" w:color="auto"/>
              <w:right w:val="single" w:sz="4" w:space="0" w:color="auto"/>
            </w:tcBorders>
            <w:noWrap/>
            <w:vAlign w:val="bottom"/>
            <w:hideMark/>
          </w:tcPr>
          <w:p w14:paraId="3CAFE20A" w14:textId="77777777" w:rsidR="00796505" w:rsidRDefault="00796505" w:rsidP="00796505">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0.0017</w:t>
            </w:r>
          </w:p>
        </w:tc>
        <w:tc>
          <w:tcPr>
            <w:tcW w:w="987" w:type="dxa"/>
            <w:tcBorders>
              <w:top w:val="nil"/>
              <w:left w:val="nil"/>
              <w:bottom w:val="single" w:sz="4" w:space="0" w:color="auto"/>
              <w:right w:val="single" w:sz="4" w:space="0" w:color="auto"/>
            </w:tcBorders>
            <w:noWrap/>
            <w:vAlign w:val="bottom"/>
            <w:hideMark/>
          </w:tcPr>
          <w:p w14:paraId="427F6C95" w14:textId="77777777" w:rsidR="00796505" w:rsidRDefault="00796505" w:rsidP="00796505">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1.23</w:t>
            </w:r>
          </w:p>
        </w:tc>
        <w:tc>
          <w:tcPr>
            <w:tcW w:w="897" w:type="dxa"/>
            <w:tcBorders>
              <w:top w:val="nil"/>
              <w:left w:val="nil"/>
              <w:bottom w:val="single" w:sz="4" w:space="0" w:color="auto"/>
              <w:right w:val="single" w:sz="4" w:space="0" w:color="auto"/>
            </w:tcBorders>
            <w:noWrap/>
            <w:vAlign w:val="bottom"/>
            <w:hideMark/>
          </w:tcPr>
          <w:p w14:paraId="2D755D88" w14:textId="77777777" w:rsidR="00796505" w:rsidRDefault="00796505" w:rsidP="00796505">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0.22</w:t>
            </w:r>
          </w:p>
        </w:tc>
        <w:tc>
          <w:tcPr>
            <w:tcW w:w="1646" w:type="dxa"/>
            <w:tcBorders>
              <w:top w:val="nil"/>
              <w:left w:val="nil"/>
              <w:bottom w:val="single" w:sz="4" w:space="0" w:color="auto"/>
              <w:right w:val="single" w:sz="4" w:space="0" w:color="auto"/>
            </w:tcBorders>
            <w:noWrap/>
            <w:vAlign w:val="bottom"/>
            <w:hideMark/>
          </w:tcPr>
          <w:p w14:paraId="0A91F63D" w14:textId="77777777" w:rsidR="00796505" w:rsidRDefault="00796505" w:rsidP="00796505">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-0.0012</w:t>
            </w:r>
          </w:p>
        </w:tc>
        <w:tc>
          <w:tcPr>
            <w:tcW w:w="1347" w:type="dxa"/>
            <w:tcBorders>
              <w:top w:val="nil"/>
              <w:left w:val="nil"/>
              <w:bottom w:val="single" w:sz="4" w:space="0" w:color="auto"/>
              <w:right w:val="single" w:sz="4" w:space="0" w:color="auto"/>
            </w:tcBorders>
            <w:noWrap/>
            <w:vAlign w:val="bottom"/>
            <w:hideMark/>
          </w:tcPr>
          <w:p w14:paraId="1CA02EBF" w14:textId="77777777" w:rsidR="00796505" w:rsidRDefault="00796505" w:rsidP="00796505">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0.0053</w:t>
            </w:r>
          </w:p>
        </w:tc>
      </w:tr>
      <w:tr w:rsidR="0014026B" w14:paraId="3874D187" w14:textId="77777777" w:rsidTr="0014026B">
        <w:trPr>
          <w:trHeight w:val="286"/>
        </w:trPr>
        <w:tc>
          <w:tcPr>
            <w:tcW w:w="1425" w:type="dxa"/>
            <w:tcBorders>
              <w:top w:val="nil"/>
              <w:left w:val="single" w:sz="4" w:space="0" w:color="auto"/>
              <w:bottom w:val="single" w:sz="4" w:space="0" w:color="auto"/>
              <w:right w:val="single" w:sz="4" w:space="0" w:color="auto"/>
            </w:tcBorders>
            <w:noWrap/>
            <w:vAlign w:val="bottom"/>
            <w:hideMark/>
          </w:tcPr>
          <w:p w14:paraId="2986F2EA" w14:textId="77777777" w:rsidR="0014026B" w:rsidRDefault="0062217F">
            <w:pPr>
              <w:spacing w:after="0" w:line="240" w:lineRule="auto"/>
              <w:rPr>
                <w:rFonts w:ascii="Calibri" w:eastAsia="Times New Roman" w:hAnsi="Calibri" w:cs="Times New Roman"/>
                <w:color w:val="000000"/>
                <w:lang w:val="es-CL" w:eastAsia="es-CL"/>
              </w:rPr>
            </w:pPr>
            <m:oMathPara>
              <m:oMathParaPr>
                <m:jc m:val="left"/>
              </m:oMathParaPr>
              <m:oMath>
                <m:sSub>
                  <m:sSubPr>
                    <m:ctrlPr>
                      <w:rPr>
                        <w:rFonts w:ascii="Cambria Math" w:eastAsiaTheme="minorEastAsia" w:hAnsi="Cambria Math"/>
                        <w:i/>
                        <w:sz w:val="24"/>
                        <w:szCs w:val="24"/>
                        <w:lang w:val="es-CL"/>
                      </w:rPr>
                    </m:ctrlPr>
                  </m:sSubPr>
                  <m:e>
                    <m:r>
                      <w:rPr>
                        <w:rFonts w:ascii="Cambria Math" w:eastAsiaTheme="minorEastAsia" w:hAnsi="Cambria Math"/>
                        <w:sz w:val="24"/>
                        <w:szCs w:val="24"/>
                        <w:lang w:val="es-CL"/>
                      </w:rPr>
                      <m:t>γ</m:t>
                    </m:r>
                  </m:e>
                  <m:sub>
                    <m:r>
                      <w:rPr>
                        <w:rFonts w:ascii="Cambria Math" w:eastAsiaTheme="minorEastAsia" w:hAnsi="Cambria Math"/>
                        <w:sz w:val="24"/>
                        <w:szCs w:val="24"/>
                        <w:lang w:val="es-CL"/>
                      </w:rPr>
                      <m:t>0</m:t>
                    </m:r>
                  </m:sub>
                </m:sSub>
              </m:oMath>
            </m:oMathPara>
          </w:p>
        </w:tc>
        <w:tc>
          <w:tcPr>
            <w:tcW w:w="1335" w:type="dxa"/>
            <w:tcBorders>
              <w:top w:val="nil"/>
              <w:left w:val="nil"/>
              <w:bottom w:val="single" w:sz="4" w:space="0" w:color="auto"/>
              <w:right w:val="single" w:sz="4" w:space="0" w:color="auto"/>
            </w:tcBorders>
            <w:noWrap/>
            <w:vAlign w:val="bottom"/>
            <w:hideMark/>
          </w:tcPr>
          <w:p w14:paraId="3921CD21"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0.0005</w:t>
            </w:r>
          </w:p>
        </w:tc>
        <w:tc>
          <w:tcPr>
            <w:tcW w:w="1335" w:type="dxa"/>
            <w:tcBorders>
              <w:top w:val="nil"/>
              <w:left w:val="nil"/>
              <w:bottom w:val="single" w:sz="4" w:space="0" w:color="auto"/>
              <w:right w:val="single" w:sz="4" w:space="0" w:color="auto"/>
            </w:tcBorders>
            <w:noWrap/>
            <w:vAlign w:val="bottom"/>
            <w:hideMark/>
          </w:tcPr>
          <w:p w14:paraId="60C747D3"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0.0003</w:t>
            </w:r>
          </w:p>
        </w:tc>
        <w:tc>
          <w:tcPr>
            <w:tcW w:w="987" w:type="dxa"/>
            <w:tcBorders>
              <w:top w:val="nil"/>
              <w:left w:val="nil"/>
              <w:bottom w:val="single" w:sz="4" w:space="0" w:color="auto"/>
              <w:right w:val="single" w:sz="4" w:space="0" w:color="auto"/>
            </w:tcBorders>
            <w:noWrap/>
            <w:vAlign w:val="bottom"/>
            <w:hideMark/>
          </w:tcPr>
          <w:p w14:paraId="581B4583"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1.6</w:t>
            </w:r>
          </w:p>
        </w:tc>
        <w:tc>
          <w:tcPr>
            <w:tcW w:w="897" w:type="dxa"/>
            <w:tcBorders>
              <w:top w:val="nil"/>
              <w:left w:val="nil"/>
              <w:bottom w:val="single" w:sz="4" w:space="0" w:color="auto"/>
              <w:right w:val="single" w:sz="4" w:space="0" w:color="auto"/>
            </w:tcBorders>
            <w:noWrap/>
            <w:vAlign w:val="bottom"/>
            <w:hideMark/>
          </w:tcPr>
          <w:p w14:paraId="2946A6F5"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0.109</w:t>
            </w:r>
          </w:p>
        </w:tc>
        <w:tc>
          <w:tcPr>
            <w:tcW w:w="1646" w:type="dxa"/>
            <w:tcBorders>
              <w:top w:val="nil"/>
              <w:left w:val="nil"/>
              <w:bottom w:val="single" w:sz="4" w:space="0" w:color="auto"/>
              <w:right w:val="single" w:sz="4" w:space="0" w:color="auto"/>
            </w:tcBorders>
            <w:noWrap/>
            <w:vAlign w:val="bottom"/>
            <w:hideMark/>
          </w:tcPr>
          <w:p w14:paraId="167FBBDB"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-0.0001</w:t>
            </w:r>
          </w:p>
        </w:tc>
        <w:tc>
          <w:tcPr>
            <w:tcW w:w="1347" w:type="dxa"/>
            <w:tcBorders>
              <w:top w:val="nil"/>
              <w:left w:val="nil"/>
              <w:bottom w:val="single" w:sz="4" w:space="0" w:color="auto"/>
              <w:right w:val="single" w:sz="4" w:space="0" w:color="auto"/>
            </w:tcBorders>
            <w:noWrap/>
            <w:vAlign w:val="bottom"/>
            <w:hideMark/>
          </w:tcPr>
          <w:p w14:paraId="3D567289" w14:textId="77777777" w:rsidR="0014026B" w:rsidRDefault="0014026B">
            <w:pPr>
              <w:spacing w:after="0" w:line="240" w:lineRule="auto"/>
              <w:jc w:val="right"/>
              <w:rPr>
                <w:rFonts w:ascii="Calibri" w:eastAsia="Times New Roman" w:hAnsi="Calibri" w:cs="Times New Roman"/>
                <w:color w:val="000000"/>
                <w:lang w:val="es-CL" w:eastAsia="es-CL"/>
              </w:rPr>
            </w:pPr>
            <w:r>
              <w:rPr>
                <w:rFonts w:ascii="Calibri" w:eastAsia="Times New Roman" w:hAnsi="Calibri" w:cs="Times New Roman"/>
                <w:color w:val="000000"/>
                <w:lang w:val="es-CL" w:eastAsia="es-CL"/>
              </w:rPr>
              <w:t>0.0011</w:t>
            </w:r>
          </w:p>
        </w:tc>
      </w:tr>
    </w:tbl>
    <w:p w14:paraId="6432AEFE" w14:textId="077031E0" w:rsidR="003E7F2D" w:rsidRDefault="003E7F2D" w:rsidP="0014026B">
      <w:pPr>
        <w:jc w:val="both"/>
        <w:rPr>
          <w:sz w:val="24"/>
          <w:szCs w:val="24"/>
          <w:lang w:val="es-CL"/>
        </w:rPr>
      </w:pPr>
    </w:p>
    <w:p w14:paraId="7C417867" w14:textId="35305A25" w:rsidR="00E3292E" w:rsidRDefault="00E3292E" w:rsidP="0014026B">
      <w:pPr>
        <w:jc w:val="both"/>
        <w:rPr>
          <w:sz w:val="24"/>
          <w:szCs w:val="24"/>
          <w:lang w:val="es-CL"/>
        </w:rPr>
      </w:pPr>
    </w:p>
    <w:p w14:paraId="1AFF0DEB" w14:textId="45C5A6FE" w:rsidR="008F4119" w:rsidRDefault="008F4119" w:rsidP="0014026B">
      <w:pPr>
        <w:jc w:val="both"/>
        <w:rPr>
          <w:sz w:val="24"/>
          <w:szCs w:val="24"/>
          <w:lang w:val="es-CL"/>
        </w:rPr>
      </w:pPr>
    </w:p>
    <w:p w14:paraId="4AA44812" w14:textId="1B6DC6AA" w:rsidR="008F4119" w:rsidRDefault="008F4119" w:rsidP="0014026B">
      <w:pPr>
        <w:jc w:val="both"/>
        <w:rPr>
          <w:sz w:val="24"/>
          <w:szCs w:val="24"/>
          <w:lang w:val="es-CL"/>
        </w:rPr>
      </w:pPr>
    </w:p>
    <w:p w14:paraId="5D6B1F5A" w14:textId="719EB75A" w:rsidR="008F4119" w:rsidRDefault="008F4119" w:rsidP="0014026B">
      <w:pPr>
        <w:jc w:val="both"/>
        <w:rPr>
          <w:sz w:val="24"/>
          <w:szCs w:val="24"/>
          <w:lang w:val="es-CL"/>
        </w:rPr>
      </w:pPr>
    </w:p>
    <w:p w14:paraId="70ECFAF8" w14:textId="4E64DEEC" w:rsidR="008F4119" w:rsidRDefault="008F4119" w:rsidP="0014026B">
      <w:pPr>
        <w:jc w:val="both"/>
        <w:rPr>
          <w:sz w:val="24"/>
          <w:szCs w:val="24"/>
          <w:lang w:val="es-CL"/>
        </w:rPr>
      </w:pPr>
    </w:p>
    <w:p w14:paraId="0EC8F40E" w14:textId="4E477B47" w:rsidR="008F4119" w:rsidRDefault="008F4119" w:rsidP="0014026B">
      <w:pPr>
        <w:jc w:val="both"/>
        <w:rPr>
          <w:sz w:val="24"/>
          <w:szCs w:val="24"/>
          <w:lang w:val="es-CL"/>
        </w:rPr>
      </w:pPr>
    </w:p>
    <w:p w14:paraId="2751237E" w14:textId="6ECB644C" w:rsidR="008F4119" w:rsidRDefault="008F4119" w:rsidP="0014026B">
      <w:pPr>
        <w:jc w:val="both"/>
        <w:rPr>
          <w:sz w:val="24"/>
          <w:szCs w:val="24"/>
          <w:lang w:val="es-CL"/>
        </w:rPr>
      </w:pPr>
    </w:p>
    <w:p w14:paraId="0BD3BB69" w14:textId="54C9721A" w:rsidR="008F4119" w:rsidRDefault="008F4119" w:rsidP="0014026B">
      <w:pPr>
        <w:jc w:val="both"/>
        <w:rPr>
          <w:sz w:val="24"/>
          <w:szCs w:val="24"/>
          <w:lang w:val="es-CL"/>
        </w:rPr>
      </w:pPr>
    </w:p>
    <w:p w14:paraId="4F2B29CF" w14:textId="45EFC649" w:rsidR="008F4119" w:rsidRDefault="008F4119" w:rsidP="0014026B">
      <w:pPr>
        <w:jc w:val="both"/>
        <w:rPr>
          <w:sz w:val="24"/>
          <w:szCs w:val="24"/>
          <w:lang w:val="es-CL"/>
        </w:rPr>
      </w:pPr>
    </w:p>
    <w:p w14:paraId="1A96C16D" w14:textId="24874373" w:rsidR="008F4119" w:rsidRDefault="008F4119" w:rsidP="0014026B">
      <w:pPr>
        <w:jc w:val="both"/>
        <w:rPr>
          <w:sz w:val="24"/>
          <w:szCs w:val="24"/>
          <w:lang w:val="es-CL"/>
        </w:rPr>
      </w:pPr>
    </w:p>
    <w:p w14:paraId="743345E0" w14:textId="77777777" w:rsidR="008F4119" w:rsidRDefault="008F4119" w:rsidP="0014026B">
      <w:pPr>
        <w:jc w:val="both"/>
        <w:rPr>
          <w:sz w:val="24"/>
          <w:szCs w:val="24"/>
          <w:lang w:val="es-CL"/>
        </w:rPr>
      </w:pPr>
    </w:p>
    <w:p w14:paraId="55A7D5AA" w14:textId="726E0B64" w:rsidR="0014026B" w:rsidRPr="00A426AD" w:rsidRDefault="0014026B" w:rsidP="003E7F2D">
      <w:pPr>
        <w:jc w:val="center"/>
        <w:rPr>
          <w:b/>
          <w:bCs/>
          <w:sz w:val="24"/>
          <w:szCs w:val="24"/>
          <w:u w:val="single"/>
          <w:lang w:val="es-CL"/>
        </w:rPr>
      </w:pPr>
      <w:r w:rsidRPr="00A426AD">
        <w:rPr>
          <w:b/>
          <w:bCs/>
          <w:sz w:val="24"/>
          <w:szCs w:val="24"/>
          <w:u w:val="single"/>
          <w:lang w:val="es-CL"/>
        </w:rPr>
        <w:lastRenderedPageBreak/>
        <w:t>VAR</w:t>
      </w:r>
      <w:r w:rsidR="00BD70F0" w:rsidRPr="00A426AD">
        <w:rPr>
          <w:b/>
          <w:bCs/>
          <w:sz w:val="24"/>
          <w:szCs w:val="24"/>
          <w:u w:val="single"/>
          <w:lang w:val="es-CL"/>
        </w:rPr>
        <w:t xml:space="preserve"> Model: Impulse Response Functions (IRFs)</w:t>
      </w:r>
    </w:p>
    <w:p w14:paraId="45579475" w14:textId="77777777" w:rsidR="003E7F2D" w:rsidRPr="00356C06" w:rsidRDefault="003E7F2D" w:rsidP="003E7F2D">
      <w:pPr>
        <w:jc w:val="center"/>
        <w:rPr>
          <w:i/>
          <w:iCs/>
          <w:sz w:val="24"/>
          <w:szCs w:val="24"/>
          <w:lang w:val="es-CL"/>
        </w:rPr>
      </w:pPr>
    </w:p>
    <w:p w14:paraId="22BCC336" w14:textId="61CBCC73" w:rsidR="0014026B" w:rsidRDefault="0014026B" w:rsidP="0014026B">
      <w:pPr>
        <w:jc w:val="center"/>
        <w:rPr>
          <w:rFonts w:eastAsiaTheme="minorEastAsia"/>
          <w:b/>
          <w:bCs/>
          <w:sz w:val="24"/>
          <w:szCs w:val="24"/>
        </w:rPr>
      </w:pPr>
      <w:r w:rsidRPr="003B6C66">
        <w:rPr>
          <w:rFonts w:eastAsiaTheme="minorEastAsia"/>
          <w:b/>
          <w:bCs/>
          <w:sz w:val="24"/>
          <w:szCs w:val="24"/>
        </w:rPr>
        <w:t xml:space="preserve">Figura A1. </w:t>
      </w:r>
      <w:r w:rsidR="00A179DF" w:rsidRPr="003B6C66">
        <w:rPr>
          <w:rFonts w:eastAsiaTheme="minorEastAsia"/>
          <w:b/>
          <w:bCs/>
          <w:sz w:val="24"/>
          <w:szCs w:val="24"/>
        </w:rPr>
        <w:t>IRF of a shock in the variation of the exchange rate on inflation for different orders in the Cholesky decomposition</w:t>
      </w:r>
    </w:p>
    <w:p w14:paraId="0B16AC18" w14:textId="6E0C9DEE" w:rsidR="00B82F3A" w:rsidRPr="008F4119" w:rsidRDefault="00B82F3A" w:rsidP="008F4119">
      <w:pPr>
        <w:jc w:val="center"/>
        <w:rPr>
          <w:rFonts w:eastAsiaTheme="minorEastAsia"/>
          <w:sz w:val="24"/>
          <w:szCs w:val="24"/>
        </w:rPr>
      </w:pPr>
      <w:r w:rsidRPr="00B82F3A">
        <w:rPr>
          <w:rFonts w:eastAsiaTheme="minorEastAsia"/>
          <w:sz w:val="24"/>
          <w:szCs w:val="24"/>
        </w:rPr>
        <w:drawing>
          <wp:inline distT="0" distB="0" distL="0" distR="0" wp14:anchorId="0C610E89" wp14:editId="74F77CE1">
            <wp:extent cx="4095036" cy="2979336"/>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15877" cy="2994499"/>
                    </a:xfrm>
                    <a:prstGeom prst="rect">
                      <a:avLst/>
                    </a:prstGeom>
                    <a:noFill/>
                    <a:ln>
                      <a:noFill/>
                    </a:ln>
                  </pic:spPr>
                </pic:pic>
              </a:graphicData>
            </a:graphic>
          </wp:inline>
        </w:drawing>
      </w:r>
    </w:p>
    <w:p w14:paraId="2413552E" w14:textId="77777777" w:rsidR="00B82F3A" w:rsidRDefault="00B82F3A" w:rsidP="0014026B">
      <w:pPr>
        <w:jc w:val="both"/>
        <w:rPr>
          <w:sz w:val="24"/>
          <w:szCs w:val="24"/>
          <w:lang w:val="es-CL"/>
        </w:rPr>
      </w:pPr>
    </w:p>
    <w:p w14:paraId="7A306220" w14:textId="14B780FB" w:rsidR="0014026B" w:rsidRDefault="0014026B" w:rsidP="0014026B">
      <w:pPr>
        <w:jc w:val="center"/>
        <w:rPr>
          <w:rFonts w:eastAsiaTheme="minorEastAsia"/>
          <w:b/>
          <w:bCs/>
          <w:sz w:val="24"/>
          <w:szCs w:val="24"/>
        </w:rPr>
      </w:pPr>
      <w:r w:rsidRPr="003B6C66">
        <w:rPr>
          <w:rFonts w:eastAsiaTheme="minorEastAsia"/>
          <w:b/>
          <w:bCs/>
          <w:sz w:val="24"/>
          <w:szCs w:val="24"/>
        </w:rPr>
        <w:t xml:space="preserve">Figura A2. </w:t>
      </w:r>
      <w:r w:rsidR="00A179DF" w:rsidRPr="003B6C66">
        <w:rPr>
          <w:rFonts w:eastAsiaTheme="minorEastAsia"/>
          <w:b/>
          <w:bCs/>
          <w:sz w:val="24"/>
          <w:szCs w:val="24"/>
        </w:rPr>
        <w:t xml:space="preserve">IRF of a shock in the variation of the TPM on inflation for different orders in the Cholesky decomposition </w:t>
      </w:r>
    </w:p>
    <w:p w14:paraId="5EDBEAA8" w14:textId="30145A2D" w:rsidR="00B82F3A" w:rsidRPr="003B6C66" w:rsidRDefault="00B82F3A" w:rsidP="0014026B">
      <w:pPr>
        <w:jc w:val="center"/>
        <w:rPr>
          <w:rFonts w:eastAsiaTheme="minorEastAsia"/>
          <w:sz w:val="24"/>
          <w:szCs w:val="24"/>
        </w:rPr>
      </w:pPr>
      <w:r w:rsidRPr="00B82F3A">
        <w:rPr>
          <w:rFonts w:eastAsiaTheme="minorEastAsia"/>
          <w:sz w:val="24"/>
          <w:szCs w:val="24"/>
        </w:rPr>
        <w:drawing>
          <wp:inline distT="0" distB="0" distL="0" distR="0" wp14:anchorId="406194B6" wp14:editId="1C56B3C3">
            <wp:extent cx="4025980" cy="2929094"/>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42637" cy="2941213"/>
                    </a:xfrm>
                    <a:prstGeom prst="rect">
                      <a:avLst/>
                    </a:prstGeom>
                    <a:noFill/>
                    <a:ln>
                      <a:noFill/>
                    </a:ln>
                  </pic:spPr>
                </pic:pic>
              </a:graphicData>
            </a:graphic>
          </wp:inline>
        </w:drawing>
      </w:r>
    </w:p>
    <w:p w14:paraId="275D564B" w14:textId="42924F28" w:rsidR="00CD4533" w:rsidRDefault="00CD4533" w:rsidP="00CD4533">
      <w:pPr>
        <w:spacing w:line="254" w:lineRule="auto"/>
        <w:jc w:val="both"/>
        <w:rPr>
          <w:rFonts w:ascii="Calibri" w:eastAsia="Calibri" w:hAnsi="Calibri" w:cs="Times New Roman"/>
          <w:b/>
          <w:bCs/>
          <w:sz w:val="24"/>
          <w:szCs w:val="24"/>
        </w:rPr>
      </w:pPr>
      <w:r>
        <w:rPr>
          <w:rFonts w:ascii="Calibri" w:eastAsia="Calibri" w:hAnsi="Calibri" w:cs="Times New Roman"/>
          <w:b/>
          <w:bCs/>
          <w:sz w:val="24"/>
          <w:szCs w:val="24"/>
        </w:rPr>
        <w:lastRenderedPageBreak/>
        <w:t>Referenc</w:t>
      </w:r>
      <w:r w:rsidR="007F5476">
        <w:rPr>
          <w:rFonts w:ascii="Calibri" w:eastAsia="Calibri" w:hAnsi="Calibri" w:cs="Times New Roman"/>
          <w:b/>
          <w:bCs/>
          <w:sz w:val="24"/>
          <w:szCs w:val="24"/>
        </w:rPr>
        <w:t>es</w:t>
      </w:r>
    </w:p>
    <w:p w14:paraId="42C43F95" w14:textId="77777777" w:rsidR="00CD4533" w:rsidRDefault="00CD4533" w:rsidP="00CD4533">
      <w:pPr>
        <w:spacing w:line="254" w:lineRule="auto"/>
        <w:jc w:val="both"/>
        <w:rPr>
          <w:rFonts w:eastAsia="Calibri" w:cstheme="minorHAnsi"/>
          <w:sz w:val="24"/>
          <w:szCs w:val="24"/>
        </w:rPr>
      </w:pPr>
      <w:r>
        <w:rPr>
          <w:rFonts w:eastAsia="Calibri" w:cstheme="minorHAnsi"/>
          <w:sz w:val="24"/>
          <w:szCs w:val="24"/>
        </w:rPr>
        <w:t>Asab, M.Z., Abdullah, M., Nawaz, M.M., Shakoor, M.I., &amp; Arshad, U. (2015). Testing Purchasing Power Parity: A Comparison of Pakistan and India. International Journal of African and Asian Studies, 6, 37-45.</w:t>
      </w:r>
    </w:p>
    <w:p w14:paraId="7DC803C7" w14:textId="77777777" w:rsidR="00CD4533" w:rsidRDefault="00CD4533" w:rsidP="00CD4533">
      <w:pPr>
        <w:spacing w:line="254" w:lineRule="auto"/>
        <w:jc w:val="both"/>
        <w:rPr>
          <w:rFonts w:eastAsia="Calibri" w:cstheme="minorHAnsi"/>
          <w:sz w:val="24"/>
          <w:szCs w:val="24"/>
        </w:rPr>
      </w:pPr>
      <w:r>
        <w:rPr>
          <w:rFonts w:eastAsia="Calibri" w:cstheme="minorHAnsi"/>
          <w:sz w:val="24"/>
          <w:szCs w:val="24"/>
        </w:rPr>
        <w:t>Calderón C. &amp; Duncan R., 2003. "Purchasing power parity in an emerging market economy: a long- span study for Chile," Estudios de Economia, University of Chile, Department of Economics, vol. 30, pages 103-132, June.</w:t>
      </w:r>
    </w:p>
    <w:p w14:paraId="7D45E286" w14:textId="77777777" w:rsidR="00CD4533" w:rsidRDefault="00CD4533" w:rsidP="00CD4533">
      <w:pPr>
        <w:spacing w:line="254" w:lineRule="auto"/>
        <w:jc w:val="both"/>
        <w:rPr>
          <w:rFonts w:eastAsia="Calibri" w:cstheme="minorHAnsi"/>
          <w:sz w:val="24"/>
          <w:szCs w:val="24"/>
          <w:lang w:val="es-CL"/>
        </w:rPr>
      </w:pPr>
      <w:r>
        <w:rPr>
          <w:rFonts w:eastAsia="Calibri" w:cstheme="minorHAnsi"/>
          <w:sz w:val="24"/>
          <w:szCs w:val="24"/>
        </w:rPr>
        <w:t xml:space="preserve">Carlsson Mikael, Lyhagen Johan &amp; Österholm Pär. (2008). Testing for Purchasing Power Parity in Cointegrated Panels. </w:t>
      </w:r>
      <w:r>
        <w:rPr>
          <w:rFonts w:eastAsia="Calibri" w:cstheme="minorHAnsi"/>
          <w:sz w:val="24"/>
          <w:szCs w:val="24"/>
          <w:lang w:val="es-CL"/>
        </w:rPr>
        <w:t>IMF Working Papers.</w:t>
      </w:r>
    </w:p>
    <w:p w14:paraId="7D102AFB" w14:textId="77777777" w:rsidR="00CD4533" w:rsidRDefault="00CD4533" w:rsidP="00D87D06">
      <w:pPr>
        <w:pStyle w:val="NormalWeb"/>
        <w:shd w:val="clear" w:color="auto" w:fill="FFFFFF"/>
        <w:jc w:val="both"/>
        <w:rPr>
          <w:rFonts w:asciiTheme="minorHAnsi" w:hAnsiTheme="minorHAnsi" w:cstheme="minorHAnsi"/>
          <w:color w:val="000000"/>
        </w:rPr>
      </w:pPr>
      <w:r>
        <w:rPr>
          <w:rFonts w:asciiTheme="minorHAnsi" w:hAnsiTheme="minorHAnsi" w:cstheme="minorHAnsi"/>
          <w:color w:val="000000"/>
        </w:rPr>
        <w:t>Céspedes Luis Felipe &amp; De Gregorio José (1999), “Tipo de Cambio Real, Desalineamiento y Devaluaciones: Teoría y Evidencia para Chile”, mimeo, DII Universidad de Chile.</w:t>
      </w:r>
    </w:p>
    <w:p w14:paraId="704DEC92" w14:textId="77777777" w:rsidR="00CD4533" w:rsidRDefault="00CD4533" w:rsidP="00CD4533">
      <w:pPr>
        <w:autoSpaceDE w:val="0"/>
        <w:autoSpaceDN w:val="0"/>
        <w:adjustRightInd w:val="0"/>
        <w:spacing w:after="0" w:line="240" w:lineRule="auto"/>
        <w:jc w:val="both"/>
        <w:rPr>
          <w:rFonts w:cstheme="minorHAnsi"/>
          <w:sz w:val="24"/>
          <w:szCs w:val="24"/>
        </w:rPr>
      </w:pPr>
      <w:r>
        <w:rPr>
          <w:rFonts w:cstheme="minorHAnsi"/>
          <w:sz w:val="24"/>
          <w:szCs w:val="24"/>
        </w:rPr>
        <w:t>Clark, T.E., 2004, "Can Out-of-Sample Forecast Comparisons Help Prevent Over-fitting?," Journal of Forecasting 23(2): 115.139.</w:t>
      </w:r>
    </w:p>
    <w:p w14:paraId="787993F2" w14:textId="77777777" w:rsidR="00CD4533" w:rsidRDefault="00CD4533" w:rsidP="00CD4533">
      <w:pPr>
        <w:autoSpaceDE w:val="0"/>
        <w:autoSpaceDN w:val="0"/>
        <w:adjustRightInd w:val="0"/>
        <w:spacing w:after="0" w:line="240" w:lineRule="auto"/>
        <w:jc w:val="both"/>
        <w:rPr>
          <w:rFonts w:cstheme="minorHAnsi"/>
          <w:sz w:val="24"/>
          <w:szCs w:val="24"/>
        </w:rPr>
      </w:pPr>
    </w:p>
    <w:p w14:paraId="6B2DB54E" w14:textId="77777777" w:rsidR="00CD4533" w:rsidRDefault="00CD4533" w:rsidP="00CD4533">
      <w:pPr>
        <w:autoSpaceDE w:val="0"/>
        <w:autoSpaceDN w:val="0"/>
        <w:adjustRightInd w:val="0"/>
        <w:spacing w:after="0" w:line="240" w:lineRule="auto"/>
        <w:jc w:val="both"/>
        <w:rPr>
          <w:rFonts w:cstheme="minorHAnsi"/>
          <w:sz w:val="24"/>
          <w:szCs w:val="24"/>
        </w:rPr>
      </w:pPr>
      <w:r>
        <w:rPr>
          <w:rFonts w:cstheme="minorHAnsi"/>
          <w:sz w:val="24"/>
          <w:szCs w:val="24"/>
        </w:rPr>
        <w:t>Crownover Collin, Pippenger John &amp; Steigerwald Douglas G. 1996. "Testing for absolute purchasing power parity," Journal of International Money and Finance, Elsevier, vol. 15(5), pages 783-796, October.</w:t>
      </w:r>
    </w:p>
    <w:p w14:paraId="53915E0E" w14:textId="77777777" w:rsidR="00CD4533" w:rsidRDefault="00CD4533" w:rsidP="00CD4533">
      <w:pPr>
        <w:autoSpaceDE w:val="0"/>
        <w:autoSpaceDN w:val="0"/>
        <w:adjustRightInd w:val="0"/>
        <w:spacing w:after="0" w:line="240" w:lineRule="auto"/>
        <w:jc w:val="both"/>
        <w:rPr>
          <w:rFonts w:cstheme="minorHAnsi"/>
          <w:sz w:val="24"/>
          <w:szCs w:val="24"/>
        </w:rPr>
      </w:pPr>
    </w:p>
    <w:p w14:paraId="0AD22E82" w14:textId="77777777" w:rsidR="00CD4533" w:rsidRDefault="00CD4533" w:rsidP="00CD4533">
      <w:pPr>
        <w:autoSpaceDE w:val="0"/>
        <w:autoSpaceDN w:val="0"/>
        <w:adjustRightInd w:val="0"/>
        <w:spacing w:after="0" w:line="240" w:lineRule="auto"/>
        <w:jc w:val="both"/>
        <w:rPr>
          <w:rFonts w:cstheme="minorHAnsi"/>
          <w:sz w:val="24"/>
          <w:szCs w:val="24"/>
        </w:rPr>
      </w:pPr>
      <w:r>
        <w:rPr>
          <w:rFonts w:cstheme="minorHAnsi"/>
          <w:sz w:val="24"/>
          <w:szCs w:val="24"/>
        </w:rPr>
        <w:t>Hegwood Natalie &amp; Papell David, (1998). Quasi Purchasing Power Parity, International Journal of Finance &amp; Economics, 3, issue 4, p. 279-89.</w:t>
      </w:r>
    </w:p>
    <w:p w14:paraId="3C4EE886" w14:textId="77777777" w:rsidR="00CD4533" w:rsidRDefault="00CD4533" w:rsidP="00CD4533">
      <w:pPr>
        <w:autoSpaceDE w:val="0"/>
        <w:autoSpaceDN w:val="0"/>
        <w:adjustRightInd w:val="0"/>
        <w:spacing w:after="0" w:line="240" w:lineRule="auto"/>
        <w:jc w:val="both"/>
        <w:rPr>
          <w:rFonts w:cstheme="minorHAnsi"/>
          <w:sz w:val="24"/>
          <w:szCs w:val="24"/>
        </w:rPr>
      </w:pPr>
    </w:p>
    <w:p w14:paraId="3A3B3878" w14:textId="77777777" w:rsidR="00CD4533" w:rsidRDefault="00CD4533" w:rsidP="00CD4533">
      <w:pPr>
        <w:autoSpaceDE w:val="0"/>
        <w:autoSpaceDN w:val="0"/>
        <w:adjustRightInd w:val="0"/>
        <w:spacing w:after="0" w:line="240" w:lineRule="auto"/>
        <w:jc w:val="both"/>
        <w:rPr>
          <w:rFonts w:eastAsia="Calibri" w:cstheme="minorHAnsi"/>
          <w:sz w:val="24"/>
          <w:szCs w:val="24"/>
        </w:rPr>
      </w:pPr>
      <w:r>
        <w:rPr>
          <w:rFonts w:eastAsia="Calibri" w:cstheme="minorHAnsi"/>
          <w:sz w:val="24"/>
          <w:szCs w:val="24"/>
        </w:rPr>
        <w:t>Hongjun Li, Zhongjian Lin &amp; Cheng Hsiao, 2015. "Testing purchasing power parity hypothesis: a semiparametric varying coefficient approach," Empirical Economics, Springer, vol. 48(1), pages 427-438, February.</w:t>
      </w:r>
    </w:p>
    <w:p w14:paraId="0CF21AA1" w14:textId="77777777" w:rsidR="00CD4533" w:rsidRDefault="00CD4533" w:rsidP="00CD4533">
      <w:pPr>
        <w:autoSpaceDE w:val="0"/>
        <w:autoSpaceDN w:val="0"/>
        <w:adjustRightInd w:val="0"/>
        <w:spacing w:after="0" w:line="240" w:lineRule="auto"/>
        <w:jc w:val="both"/>
        <w:rPr>
          <w:rFonts w:eastAsia="Calibri" w:cstheme="minorHAnsi"/>
          <w:sz w:val="24"/>
          <w:szCs w:val="24"/>
        </w:rPr>
      </w:pPr>
    </w:p>
    <w:p w14:paraId="3EF44D75" w14:textId="77777777" w:rsidR="00CD4533" w:rsidRDefault="00CD4533" w:rsidP="00CD4533">
      <w:pPr>
        <w:autoSpaceDE w:val="0"/>
        <w:autoSpaceDN w:val="0"/>
        <w:adjustRightInd w:val="0"/>
        <w:spacing w:after="0" w:line="240" w:lineRule="auto"/>
        <w:jc w:val="both"/>
        <w:rPr>
          <w:rFonts w:eastAsia="Calibri" w:cstheme="minorHAnsi"/>
          <w:sz w:val="24"/>
          <w:szCs w:val="24"/>
        </w:rPr>
      </w:pPr>
      <w:r>
        <w:rPr>
          <w:rFonts w:eastAsia="Calibri" w:cstheme="minorHAnsi"/>
          <w:sz w:val="24"/>
          <w:szCs w:val="24"/>
          <w:lang w:val="es-CL"/>
        </w:rPr>
        <w:t xml:space="preserve">Kasuya, M. and K. Ueda (2000). </w:t>
      </w:r>
      <w:r>
        <w:rPr>
          <w:rFonts w:eastAsia="Calibri" w:cstheme="minorHAnsi"/>
          <w:sz w:val="24"/>
          <w:szCs w:val="24"/>
        </w:rPr>
        <w:t xml:space="preserve">“Testing Purchasing Power parity hypothesis: Re-examination by additional variables”. Working Paper 00-3, Research and Statistics Department, Bank of Japan. </w:t>
      </w:r>
    </w:p>
    <w:p w14:paraId="3D4C5978" w14:textId="77777777" w:rsidR="00CD4533" w:rsidRDefault="00CD4533" w:rsidP="00CD4533">
      <w:pPr>
        <w:autoSpaceDE w:val="0"/>
        <w:autoSpaceDN w:val="0"/>
        <w:adjustRightInd w:val="0"/>
        <w:spacing w:after="0" w:line="240" w:lineRule="auto"/>
        <w:jc w:val="both"/>
        <w:rPr>
          <w:rFonts w:eastAsia="Calibri" w:cstheme="minorHAnsi"/>
          <w:sz w:val="24"/>
          <w:szCs w:val="24"/>
        </w:rPr>
      </w:pPr>
    </w:p>
    <w:p w14:paraId="351133E0" w14:textId="77777777" w:rsidR="00CD4533" w:rsidRDefault="00CD4533" w:rsidP="00CD4533">
      <w:pPr>
        <w:autoSpaceDE w:val="0"/>
        <w:autoSpaceDN w:val="0"/>
        <w:adjustRightInd w:val="0"/>
        <w:spacing w:after="0" w:line="240" w:lineRule="auto"/>
        <w:jc w:val="both"/>
        <w:rPr>
          <w:rFonts w:eastAsia="Calibri" w:cstheme="minorHAnsi"/>
          <w:sz w:val="24"/>
          <w:szCs w:val="24"/>
        </w:rPr>
      </w:pPr>
      <w:r>
        <w:rPr>
          <w:rFonts w:eastAsia="Calibri" w:cstheme="minorHAnsi"/>
          <w:sz w:val="24"/>
          <w:szCs w:val="24"/>
        </w:rPr>
        <w:t>Korap Levent &amp; Aslan Özgür (2010). Re-examination of the long-run purchasing power parity: further evidence from Turkey. Applied Economics.</w:t>
      </w:r>
    </w:p>
    <w:p w14:paraId="6FFFE5B3" w14:textId="77777777" w:rsidR="00CD4533" w:rsidRDefault="00CD4533" w:rsidP="00CD4533">
      <w:pPr>
        <w:autoSpaceDE w:val="0"/>
        <w:autoSpaceDN w:val="0"/>
        <w:adjustRightInd w:val="0"/>
        <w:spacing w:after="0" w:line="240" w:lineRule="auto"/>
        <w:jc w:val="both"/>
        <w:rPr>
          <w:rFonts w:cstheme="minorHAnsi"/>
          <w:sz w:val="24"/>
          <w:szCs w:val="24"/>
        </w:rPr>
      </w:pPr>
    </w:p>
    <w:p w14:paraId="471BEF40" w14:textId="5DC16868" w:rsidR="00CD4533" w:rsidRDefault="00CD4533" w:rsidP="00CD4533">
      <w:pPr>
        <w:autoSpaceDE w:val="0"/>
        <w:autoSpaceDN w:val="0"/>
        <w:adjustRightInd w:val="0"/>
        <w:spacing w:after="0" w:line="240" w:lineRule="auto"/>
        <w:jc w:val="both"/>
        <w:rPr>
          <w:rFonts w:cstheme="minorHAnsi"/>
          <w:sz w:val="24"/>
          <w:szCs w:val="24"/>
        </w:rPr>
      </w:pPr>
      <w:r>
        <w:rPr>
          <w:rFonts w:cstheme="minorHAnsi"/>
          <w:sz w:val="24"/>
          <w:szCs w:val="24"/>
        </w:rPr>
        <w:t>Munehisa Ka</w:t>
      </w:r>
      <w:r w:rsidR="00140E8E">
        <w:rPr>
          <w:rFonts w:cstheme="minorHAnsi"/>
          <w:sz w:val="24"/>
          <w:szCs w:val="24"/>
        </w:rPr>
        <w:t>s</w:t>
      </w:r>
      <w:r>
        <w:rPr>
          <w:rFonts w:cstheme="minorHAnsi"/>
          <w:sz w:val="24"/>
          <w:szCs w:val="24"/>
        </w:rPr>
        <w:t>uya &amp; Kozo Ueda, 2000. "Testing the Purchasing Power Parity Hypothesis: Re-examination by Additional Variables, Tests with Known Cointegrating Vectors, Monte Carlo Critical Values, and Fractional Cointegration," Working Paper Series, Bank of Japan.</w:t>
      </w:r>
    </w:p>
    <w:p w14:paraId="15B64165" w14:textId="77777777" w:rsidR="00CD4533" w:rsidRDefault="00CD4533" w:rsidP="00CD4533">
      <w:pPr>
        <w:autoSpaceDE w:val="0"/>
        <w:autoSpaceDN w:val="0"/>
        <w:adjustRightInd w:val="0"/>
        <w:spacing w:after="0" w:line="240" w:lineRule="auto"/>
        <w:jc w:val="both"/>
        <w:rPr>
          <w:rFonts w:cstheme="minorHAnsi"/>
          <w:sz w:val="24"/>
          <w:szCs w:val="24"/>
        </w:rPr>
      </w:pPr>
    </w:p>
    <w:p w14:paraId="0BF77CB0" w14:textId="77777777" w:rsidR="00CD4533" w:rsidRDefault="00CD4533" w:rsidP="00CD4533">
      <w:pPr>
        <w:autoSpaceDE w:val="0"/>
        <w:autoSpaceDN w:val="0"/>
        <w:adjustRightInd w:val="0"/>
        <w:spacing w:after="0" w:line="240" w:lineRule="auto"/>
        <w:jc w:val="both"/>
        <w:rPr>
          <w:rFonts w:cstheme="minorHAnsi"/>
          <w:sz w:val="24"/>
          <w:szCs w:val="24"/>
        </w:rPr>
      </w:pPr>
      <w:r>
        <w:rPr>
          <w:rFonts w:cstheme="minorHAnsi"/>
          <w:sz w:val="24"/>
          <w:szCs w:val="24"/>
        </w:rPr>
        <w:t>Taylor, A.M. (2002). “A Century of Purchasing-Power Parity”. Review of Economics and Statistics 84(1): 139–50.</w:t>
      </w:r>
    </w:p>
    <w:p w14:paraId="307719DF" w14:textId="77777777" w:rsidR="00CD4533" w:rsidRDefault="00CD4533" w:rsidP="00CD4533">
      <w:pPr>
        <w:autoSpaceDE w:val="0"/>
        <w:autoSpaceDN w:val="0"/>
        <w:adjustRightInd w:val="0"/>
        <w:spacing w:after="0" w:line="240" w:lineRule="auto"/>
        <w:jc w:val="both"/>
        <w:rPr>
          <w:rFonts w:cstheme="minorHAnsi"/>
          <w:sz w:val="24"/>
          <w:szCs w:val="24"/>
        </w:rPr>
      </w:pPr>
    </w:p>
    <w:p w14:paraId="642840BF" w14:textId="77777777" w:rsidR="00CD4533" w:rsidRDefault="00CD4533" w:rsidP="00CD4533">
      <w:pPr>
        <w:autoSpaceDE w:val="0"/>
        <w:autoSpaceDN w:val="0"/>
        <w:adjustRightInd w:val="0"/>
        <w:spacing w:after="0" w:line="240" w:lineRule="auto"/>
        <w:jc w:val="both"/>
        <w:rPr>
          <w:rFonts w:cstheme="minorHAnsi"/>
          <w:sz w:val="24"/>
          <w:szCs w:val="24"/>
        </w:rPr>
      </w:pPr>
    </w:p>
    <w:p w14:paraId="7748DD30" w14:textId="77777777" w:rsidR="00CD4533" w:rsidRDefault="00CD4533" w:rsidP="00CD4533">
      <w:pPr>
        <w:autoSpaceDE w:val="0"/>
        <w:autoSpaceDN w:val="0"/>
        <w:adjustRightInd w:val="0"/>
        <w:spacing w:after="0" w:line="240" w:lineRule="auto"/>
        <w:jc w:val="both"/>
        <w:rPr>
          <w:rFonts w:cstheme="minorHAnsi"/>
          <w:sz w:val="24"/>
          <w:szCs w:val="24"/>
        </w:rPr>
      </w:pPr>
    </w:p>
    <w:p w14:paraId="415A79AA" w14:textId="77777777" w:rsidR="00CD4533" w:rsidRDefault="00CD4533" w:rsidP="00CD4533">
      <w:pPr>
        <w:autoSpaceDE w:val="0"/>
        <w:autoSpaceDN w:val="0"/>
        <w:adjustRightInd w:val="0"/>
        <w:spacing w:after="0" w:line="240" w:lineRule="auto"/>
        <w:jc w:val="both"/>
        <w:rPr>
          <w:rFonts w:cstheme="minorHAnsi"/>
          <w:sz w:val="24"/>
          <w:szCs w:val="24"/>
        </w:rPr>
      </w:pPr>
      <w:r>
        <w:rPr>
          <w:rFonts w:cstheme="minorHAnsi"/>
          <w:sz w:val="24"/>
          <w:szCs w:val="24"/>
        </w:rPr>
        <w:lastRenderedPageBreak/>
        <w:t>Taylor, M.P (1988). "An empirical examination of long-run purchasing power parity using cointegration techniques". Applied Economics 20:1369-1381.</w:t>
      </w:r>
    </w:p>
    <w:p w14:paraId="46FA5915" w14:textId="77777777" w:rsidR="00CD4533" w:rsidRDefault="00CD4533" w:rsidP="00CD4533">
      <w:pPr>
        <w:autoSpaceDE w:val="0"/>
        <w:autoSpaceDN w:val="0"/>
        <w:adjustRightInd w:val="0"/>
        <w:spacing w:after="0" w:line="240" w:lineRule="auto"/>
        <w:jc w:val="both"/>
        <w:rPr>
          <w:rFonts w:cstheme="minorHAnsi"/>
          <w:sz w:val="24"/>
          <w:szCs w:val="24"/>
        </w:rPr>
      </w:pPr>
    </w:p>
    <w:p w14:paraId="0D384ACE" w14:textId="77777777" w:rsidR="00CD4533" w:rsidRDefault="00CD4533" w:rsidP="00CD4533">
      <w:pPr>
        <w:autoSpaceDE w:val="0"/>
        <w:autoSpaceDN w:val="0"/>
        <w:adjustRightInd w:val="0"/>
        <w:spacing w:after="0" w:line="240" w:lineRule="auto"/>
        <w:jc w:val="both"/>
        <w:rPr>
          <w:rFonts w:cstheme="minorHAnsi"/>
          <w:sz w:val="24"/>
          <w:szCs w:val="24"/>
        </w:rPr>
      </w:pPr>
      <w:r>
        <w:rPr>
          <w:rFonts w:cstheme="minorHAnsi"/>
          <w:sz w:val="24"/>
          <w:szCs w:val="24"/>
        </w:rPr>
        <w:t>Taylor Mark &amp; McMahon Patrick. “Long-run purchasing power parity in the 1920s”. European Economic Review, Volume 32, Issue 1, 1988, Pages 179-197.</w:t>
      </w:r>
    </w:p>
    <w:p w14:paraId="439A81F3" w14:textId="77777777" w:rsidR="00CD4533" w:rsidRDefault="00CD4533" w:rsidP="00CD4533">
      <w:pPr>
        <w:autoSpaceDE w:val="0"/>
        <w:autoSpaceDN w:val="0"/>
        <w:adjustRightInd w:val="0"/>
        <w:spacing w:after="0" w:line="240" w:lineRule="auto"/>
        <w:jc w:val="both"/>
        <w:rPr>
          <w:rFonts w:cstheme="minorHAnsi"/>
          <w:sz w:val="24"/>
          <w:szCs w:val="24"/>
        </w:rPr>
      </w:pPr>
    </w:p>
    <w:p w14:paraId="19781B33" w14:textId="77777777" w:rsidR="00CD4533" w:rsidRDefault="00CD4533" w:rsidP="00CD4533">
      <w:pPr>
        <w:autoSpaceDE w:val="0"/>
        <w:autoSpaceDN w:val="0"/>
        <w:adjustRightInd w:val="0"/>
        <w:spacing w:after="0" w:line="240" w:lineRule="auto"/>
        <w:jc w:val="both"/>
        <w:rPr>
          <w:rFonts w:cstheme="minorHAnsi"/>
          <w:sz w:val="24"/>
          <w:szCs w:val="24"/>
        </w:rPr>
      </w:pPr>
      <w:r>
        <w:rPr>
          <w:rFonts w:cstheme="minorHAnsi"/>
          <w:sz w:val="24"/>
          <w:szCs w:val="24"/>
        </w:rPr>
        <w:t>Lütkepohl, H., 1985, "Comparison of Criteria for Estimating the Order of a Vector Autoregressive Process," Journal of Time Series Analysis 6(1): 35.52</w:t>
      </w:r>
    </w:p>
    <w:p w14:paraId="2FB837CA" w14:textId="77777777" w:rsidR="00CD4533" w:rsidRDefault="00CD4533" w:rsidP="00CD4533">
      <w:pPr>
        <w:jc w:val="both"/>
        <w:rPr>
          <w:sz w:val="24"/>
          <w:szCs w:val="24"/>
        </w:rPr>
      </w:pPr>
    </w:p>
    <w:p w14:paraId="7D3AD8EA" w14:textId="77777777" w:rsidR="00FE72E6" w:rsidRDefault="00FE72E6" w:rsidP="004D7268">
      <w:pPr>
        <w:spacing w:line="256" w:lineRule="auto"/>
        <w:jc w:val="both"/>
        <w:rPr>
          <w:rFonts w:ascii="Calibri" w:eastAsia="Calibri" w:hAnsi="Calibri" w:cs="Times New Roman"/>
          <w:b/>
          <w:bCs/>
          <w:sz w:val="24"/>
          <w:szCs w:val="24"/>
        </w:rPr>
      </w:pPr>
    </w:p>
    <w:sectPr w:rsidR="00FE72E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63313" w14:textId="77777777" w:rsidR="0062217F" w:rsidRDefault="0062217F" w:rsidP="003F3828">
      <w:pPr>
        <w:spacing w:after="0" w:line="240" w:lineRule="auto"/>
      </w:pPr>
      <w:r>
        <w:separator/>
      </w:r>
    </w:p>
  </w:endnote>
  <w:endnote w:type="continuationSeparator" w:id="0">
    <w:p w14:paraId="468736A4" w14:textId="77777777" w:rsidR="0062217F" w:rsidRDefault="0062217F" w:rsidP="003F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B2CC" w14:textId="77777777" w:rsidR="003E7F2D" w:rsidRDefault="003E7F2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338144"/>
      <w:docPartObj>
        <w:docPartGallery w:val="Page Numbers (Bottom of Page)"/>
        <w:docPartUnique/>
      </w:docPartObj>
    </w:sdtPr>
    <w:sdtEndPr/>
    <w:sdtContent>
      <w:p w14:paraId="06F15E60" w14:textId="3EF63333" w:rsidR="008C7711" w:rsidRDefault="008C7711">
        <w:pPr>
          <w:pStyle w:val="Piedepgina"/>
          <w:jc w:val="center"/>
        </w:pPr>
        <w:r>
          <w:fldChar w:fldCharType="begin"/>
        </w:r>
        <w:r>
          <w:instrText>PAGE   \* MERGEFORMAT</w:instrText>
        </w:r>
        <w:r>
          <w:fldChar w:fldCharType="separate"/>
        </w:r>
        <w:r>
          <w:rPr>
            <w:lang w:val="es-ES"/>
          </w:rPr>
          <w:t>2</w:t>
        </w:r>
        <w:r>
          <w:fldChar w:fldCharType="end"/>
        </w:r>
      </w:p>
    </w:sdtContent>
  </w:sdt>
  <w:p w14:paraId="7957D4A6" w14:textId="77777777" w:rsidR="008C7711" w:rsidRDefault="008C771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294F" w14:textId="77777777" w:rsidR="003E7F2D" w:rsidRDefault="003E7F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03D50" w14:textId="77777777" w:rsidR="0062217F" w:rsidRDefault="0062217F" w:rsidP="003F3828">
      <w:pPr>
        <w:spacing w:after="0" w:line="240" w:lineRule="auto"/>
      </w:pPr>
      <w:r>
        <w:separator/>
      </w:r>
    </w:p>
  </w:footnote>
  <w:footnote w:type="continuationSeparator" w:id="0">
    <w:p w14:paraId="354BE706" w14:textId="77777777" w:rsidR="0062217F" w:rsidRDefault="0062217F" w:rsidP="003F3828">
      <w:pPr>
        <w:spacing w:after="0" w:line="240" w:lineRule="auto"/>
      </w:pPr>
      <w:r>
        <w:continuationSeparator/>
      </w:r>
    </w:p>
  </w:footnote>
  <w:footnote w:id="1">
    <w:p w14:paraId="5E299196" w14:textId="157A5941" w:rsidR="005725FD" w:rsidRPr="005725FD" w:rsidRDefault="005725FD">
      <w:pPr>
        <w:pStyle w:val="Textonotapie"/>
        <w:rPr>
          <w:lang w:val="es-CL"/>
        </w:rPr>
      </w:pPr>
      <w:r>
        <w:rPr>
          <w:rStyle w:val="Refdenotaalpie"/>
        </w:rPr>
        <w:footnoteRef/>
      </w:r>
      <w:r>
        <w:t xml:space="preserve"> </w:t>
      </w:r>
      <w:r w:rsidRPr="005725FD">
        <w:t>ramlopez@fen.uchile.c</w:t>
      </w:r>
      <w:r>
        <w:t>l</w:t>
      </w:r>
    </w:p>
  </w:footnote>
  <w:footnote w:id="2">
    <w:p w14:paraId="5E0D1A2C" w14:textId="0AF7355F" w:rsidR="005725FD" w:rsidRPr="005725FD" w:rsidRDefault="005725FD">
      <w:pPr>
        <w:pStyle w:val="Textonotapie"/>
        <w:rPr>
          <w:lang w:val="es-CL"/>
        </w:rPr>
      </w:pPr>
      <w:r>
        <w:rPr>
          <w:rStyle w:val="Refdenotaalpie"/>
        </w:rPr>
        <w:footnoteRef/>
      </w:r>
      <w:r>
        <w:t xml:space="preserve"> </w:t>
      </w:r>
      <w:r>
        <w:rPr>
          <w:lang w:val="es-CL"/>
        </w:rPr>
        <w:t>kesepulved@fen.uchile.cl</w:t>
      </w:r>
    </w:p>
  </w:footnote>
  <w:footnote w:id="3">
    <w:p w14:paraId="3AFB234E" w14:textId="3BFDCD6C" w:rsidR="0013434E" w:rsidRPr="003B6C66" w:rsidRDefault="0013434E">
      <w:pPr>
        <w:pStyle w:val="Textonotapie"/>
      </w:pPr>
      <w:r>
        <w:rPr>
          <w:rStyle w:val="Refdenotaalpie"/>
        </w:rPr>
        <w:footnoteRef/>
      </w:r>
      <w:r>
        <w:t xml:space="preserve"> </w:t>
      </w:r>
      <w:r w:rsidRPr="003B6C66">
        <w:t>The AFPs are Chile's pension fund administrators.</w:t>
      </w:r>
    </w:p>
  </w:footnote>
  <w:footnote w:id="4">
    <w:p w14:paraId="35F603A2" w14:textId="401B6FBE" w:rsidR="008C5644" w:rsidRPr="003B6C66" w:rsidRDefault="008C5644" w:rsidP="005064BB">
      <w:pPr>
        <w:pStyle w:val="Textonotapie"/>
        <w:jc w:val="both"/>
      </w:pPr>
      <w:r>
        <w:rPr>
          <w:rStyle w:val="Refdenotaalpie"/>
        </w:rPr>
        <w:footnoteRef/>
      </w:r>
      <w:r>
        <w:t xml:space="preserve"> </w:t>
      </w:r>
      <w:r w:rsidRPr="008C5644">
        <w:t>Quasi PPP refers to the case in which relative prices between countries affected by strong structural shocks may diverge but the real exchange rate reverts over time to a medium-term level. Or similarly, PPP (defined on the basis of relative prices) conditional on such shocks would be valid even in the short run.</w:t>
      </w:r>
    </w:p>
  </w:footnote>
  <w:footnote w:id="5">
    <w:p w14:paraId="7D02DF43" w14:textId="4BB9667F" w:rsidR="00C61D24" w:rsidRPr="003B6C66" w:rsidRDefault="00C61D24" w:rsidP="00C61D24">
      <w:pPr>
        <w:pStyle w:val="Textonotapie"/>
        <w:jc w:val="both"/>
      </w:pPr>
      <w:r>
        <w:rPr>
          <w:rStyle w:val="Refdenotaalpie"/>
        </w:rPr>
        <w:footnoteRef/>
      </w:r>
      <w:r w:rsidRPr="00C61D24">
        <w:t>This is also the period when the Central Bank's monetary policy rate (</w:t>
      </w:r>
      <w:r>
        <w:t>TPM</w:t>
      </w:r>
      <w:r w:rsidRPr="00C61D24">
        <w:t xml:space="preserve">) starts to rise quite rapidly. In the appendix we explicitly use the changes in the </w:t>
      </w:r>
      <w:r>
        <w:t>TPM</w:t>
      </w:r>
      <w:r w:rsidRPr="00C61D24">
        <w:t xml:space="preserve"> with lags as an additional explanatory variable.</w:t>
      </w:r>
    </w:p>
  </w:footnote>
  <w:footnote w:id="6">
    <w:p w14:paraId="4D384218" w14:textId="522853C1" w:rsidR="00A41406" w:rsidRPr="003B6C66" w:rsidRDefault="00A41406" w:rsidP="00CC20C9">
      <w:pPr>
        <w:pStyle w:val="Textonotapie"/>
        <w:jc w:val="both"/>
      </w:pPr>
      <w:r>
        <w:rPr>
          <w:rStyle w:val="Refdenotaalpie"/>
        </w:rPr>
        <w:footnoteRef/>
      </w:r>
      <w:r>
        <w:t xml:space="preserve"> </w:t>
      </w:r>
      <w:r w:rsidRPr="00A41406">
        <w:t>Also in this period, large-scale adjustments in the</w:t>
      </w:r>
      <w:r w:rsidR="009E4929">
        <w:t xml:space="preserve"> </w:t>
      </w:r>
      <w:r w:rsidR="009E4929" w:rsidRPr="009E4929">
        <w:t>monetary policy rate</w:t>
      </w:r>
      <w:r w:rsidRPr="00A41406">
        <w:t xml:space="preserve"> </w:t>
      </w:r>
      <w:r w:rsidR="009E4929">
        <w:t>(</w:t>
      </w:r>
      <w:r>
        <w:t>TPM</w:t>
      </w:r>
      <w:r w:rsidR="009E4929">
        <w:t>)</w:t>
      </w:r>
      <w:r w:rsidR="00C8349C">
        <w:t xml:space="preserve"> took place</w:t>
      </w:r>
      <w:r w:rsidRPr="00A41406">
        <w:t xml:space="preserve">. In the appendix we report this same estimate separating the effect of the </w:t>
      </w:r>
      <w:r w:rsidR="00A31C22">
        <w:t>TPM</w:t>
      </w:r>
      <w:r w:rsidRPr="00A41406">
        <w:t>.</w:t>
      </w:r>
    </w:p>
  </w:footnote>
  <w:footnote w:id="7">
    <w:p w14:paraId="550F904C" w14:textId="1B2980A7" w:rsidR="003A5675" w:rsidRPr="003B6C66" w:rsidRDefault="003A5675" w:rsidP="003A5675">
      <w:pPr>
        <w:pStyle w:val="Textonotapie"/>
        <w:jc w:val="both"/>
      </w:pPr>
      <w:r>
        <w:rPr>
          <w:rStyle w:val="Refdenotaalpie"/>
        </w:rPr>
        <w:footnoteRef/>
      </w:r>
      <w:r>
        <w:t xml:space="preserve"> </w:t>
      </w:r>
      <w:r w:rsidRPr="003A5675">
        <w:t>It is important to note that the main results presented in the next subsection are not qualitatively altered when considering the other specifications that were evaluated with these 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1300" w14:textId="77777777" w:rsidR="003E7F2D" w:rsidRDefault="003E7F2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961F" w14:textId="77777777" w:rsidR="003E7F2D" w:rsidRDefault="003E7F2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4C1FF" w14:textId="77777777" w:rsidR="003E7F2D" w:rsidRDefault="003E7F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00EE8"/>
    <w:multiLevelType w:val="hybridMultilevel"/>
    <w:tmpl w:val="AFDC0B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39A34EE"/>
    <w:multiLevelType w:val="hybridMultilevel"/>
    <w:tmpl w:val="C8EC94AE"/>
    <w:lvl w:ilvl="0" w:tplc="2C2AC284">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230A6047"/>
    <w:multiLevelType w:val="hybridMultilevel"/>
    <w:tmpl w:val="B3E84208"/>
    <w:lvl w:ilvl="0" w:tplc="BF62A126">
      <w:start w:val="1"/>
      <w:numFmt w:val="decimal"/>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 w15:restartNumberingAfterBreak="0">
    <w:nsid w:val="25362F51"/>
    <w:multiLevelType w:val="hybridMultilevel"/>
    <w:tmpl w:val="AFE6B5F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80633C2"/>
    <w:multiLevelType w:val="hybridMultilevel"/>
    <w:tmpl w:val="75F6E0C6"/>
    <w:lvl w:ilvl="0" w:tplc="CC16E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A21206"/>
    <w:multiLevelType w:val="hybridMultilevel"/>
    <w:tmpl w:val="CA888220"/>
    <w:lvl w:ilvl="0" w:tplc="A41EBEB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A17DEB"/>
    <w:multiLevelType w:val="hybridMultilevel"/>
    <w:tmpl w:val="EEC235B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7B2E752E"/>
    <w:multiLevelType w:val="hybridMultilevel"/>
    <w:tmpl w:val="64A0D12E"/>
    <w:lvl w:ilvl="0" w:tplc="7C903570">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 w15:restartNumberingAfterBreak="0">
    <w:nsid w:val="7F1E040E"/>
    <w:multiLevelType w:val="hybridMultilevel"/>
    <w:tmpl w:val="4A66BEAA"/>
    <w:lvl w:ilvl="0" w:tplc="430A43BE">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abstractNumId w:val="6"/>
  </w:num>
  <w:num w:numId="2">
    <w:abstractNumId w:val="7"/>
  </w:num>
  <w:num w:numId="3">
    <w:abstractNumId w:val="3"/>
  </w:num>
  <w:num w:numId="4">
    <w:abstractNumId w:val="0"/>
  </w:num>
  <w:num w:numId="5">
    <w:abstractNumId w:val="1"/>
  </w:num>
  <w:num w:numId="6">
    <w:abstractNumId w:val="2"/>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66"/>
    <w:rsid w:val="000032B7"/>
    <w:rsid w:val="00003466"/>
    <w:rsid w:val="000046AD"/>
    <w:rsid w:val="000048DA"/>
    <w:rsid w:val="00005775"/>
    <w:rsid w:val="0000696B"/>
    <w:rsid w:val="000069FC"/>
    <w:rsid w:val="00007DDF"/>
    <w:rsid w:val="00011ADD"/>
    <w:rsid w:val="00013BEB"/>
    <w:rsid w:val="00015CC5"/>
    <w:rsid w:val="000166FF"/>
    <w:rsid w:val="0002169B"/>
    <w:rsid w:val="00021BB8"/>
    <w:rsid w:val="00022D61"/>
    <w:rsid w:val="00023197"/>
    <w:rsid w:val="00023759"/>
    <w:rsid w:val="00024CCA"/>
    <w:rsid w:val="00025CF2"/>
    <w:rsid w:val="00031649"/>
    <w:rsid w:val="0003179B"/>
    <w:rsid w:val="00032F68"/>
    <w:rsid w:val="000332B0"/>
    <w:rsid w:val="0003514A"/>
    <w:rsid w:val="00035F10"/>
    <w:rsid w:val="000402DC"/>
    <w:rsid w:val="00041C98"/>
    <w:rsid w:val="00043024"/>
    <w:rsid w:val="000443C2"/>
    <w:rsid w:val="000458F2"/>
    <w:rsid w:val="00050707"/>
    <w:rsid w:val="0005157E"/>
    <w:rsid w:val="00052A43"/>
    <w:rsid w:val="00055563"/>
    <w:rsid w:val="00057631"/>
    <w:rsid w:val="0005798C"/>
    <w:rsid w:val="00061E6A"/>
    <w:rsid w:val="0006251A"/>
    <w:rsid w:val="000628BB"/>
    <w:rsid w:val="00067836"/>
    <w:rsid w:val="0006799C"/>
    <w:rsid w:val="00070B9C"/>
    <w:rsid w:val="0007157F"/>
    <w:rsid w:val="0007232E"/>
    <w:rsid w:val="00074A4E"/>
    <w:rsid w:val="000774C1"/>
    <w:rsid w:val="000817C4"/>
    <w:rsid w:val="00082111"/>
    <w:rsid w:val="00085AED"/>
    <w:rsid w:val="0008666E"/>
    <w:rsid w:val="00086982"/>
    <w:rsid w:val="00091C22"/>
    <w:rsid w:val="00091ECA"/>
    <w:rsid w:val="00092C5A"/>
    <w:rsid w:val="00094519"/>
    <w:rsid w:val="00094D05"/>
    <w:rsid w:val="000A05EF"/>
    <w:rsid w:val="000A2DB8"/>
    <w:rsid w:val="000A3A4E"/>
    <w:rsid w:val="000A5A4A"/>
    <w:rsid w:val="000A7A10"/>
    <w:rsid w:val="000A7D17"/>
    <w:rsid w:val="000B04CC"/>
    <w:rsid w:val="000B21D3"/>
    <w:rsid w:val="000B2772"/>
    <w:rsid w:val="000B358E"/>
    <w:rsid w:val="000B41A8"/>
    <w:rsid w:val="000B6015"/>
    <w:rsid w:val="000B62F0"/>
    <w:rsid w:val="000C0FFD"/>
    <w:rsid w:val="000C152C"/>
    <w:rsid w:val="000C2267"/>
    <w:rsid w:val="000C2E9E"/>
    <w:rsid w:val="000C3EBC"/>
    <w:rsid w:val="000C41C7"/>
    <w:rsid w:val="000C6BC1"/>
    <w:rsid w:val="000D7626"/>
    <w:rsid w:val="000E1A84"/>
    <w:rsid w:val="000E1BC2"/>
    <w:rsid w:val="000E2483"/>
    <w:rsid w:val="000E29D8"/>
    <w:rsid w:val="000E2F5B"/>
    <w:rsid w:val="000E42B2"/>
    <w:rsid w:val="000E7396"/>
    <w:rsid w:val="000F2723"/>
    <w:rsid w:val="000F6315"/>
    <w:rsid w:val="001002C2"/>
    <w:rsid w:val="00101136"/>
    <w:rsid w:val="001043C7"/>
    <w:rsid w:val="00104E5E"/>
    <w:rsid w:val="00110325"/>
    <w:rsid w:val="0011087E"/>
    <w:rsid w:val="00110A14"/>
    <w:rsid w:val="00111453"/>
    <w:rsid w:val="001122C5"/>
    <w:rsid w:val="0011502B"/>
    <w:rsid w:val="00115BCF"/>
    <w:rsid w:val="001162BB"/>
    <w:rsid w:val="00120261"/>
    <w:rsid w:val="00120629"/>
    <w:rsid w:val="001211F3"/>
    <w:rsid w:val="00122283"/>
    <w:rsid w:val="0013434E"/>
    <w:rsid w:val="0013568C"/>
    <w:rsid w:val="0014026B"/>
    <w:rsid w:val="00140E8E"/>
    <w:rsid w:val="00140F8A"/>
    <w:rsid w:val="001417B8"/>
    <w:rsid w:val="00144896"/>
    <w:rsid w:val="00145931"/>
    <w:rsid w:val="00147D55"/>
    <w:rsid w:val="00150584"/>
    <w:rsid w:val="001529B8"/>
    <w:rsid w:val="00153147"/>
    <w:rsid w:val="001573A1"/>
    <w:rsid w:val="00157D4A"/>
    <w:rsid w:val="001601E2"/>
    <w:rsid w:val="001602D3"/>
    <w:rsid w:val="00160EA2"/>
    <w:rsid w:val="00162325"/>
    <w:rsid w:val="00162F0A"/>
    <w:rsid w:val="001645FD"/>
    <w:rsid w:val="0016694B"/>
    <w:rsid w:val="00166C7F"/>
    <w:rsid w:val="00170049"/>
    <w:rsid w:val="00170D58"/>
    <w:rsid w:val="00171C84"/>
    <w:rsid w:val="00172387"/>
    <w:rsid w:val="001731E5"/>
    <w:rsid w:val="0017511D"/>
    <w:rsid w:val="00175467"/>
    <w:rsid w:val="00187B1E"/>
    <w:rsid w:val="00187BA3"/>
    <w:rsid w:val="001919C3"/>
    <w:rsid w:val="0019289E"/>
    <w:rsid w:val="00194580"/>
    <w:rsid w:val="00195810"/>
    <w:rsid w:val="00195D6B"/>
    <w:rsid w:val="00195FA5"/>
    <w:rsid w:val="001A2312"/>
    <w:rsid w:val="001A367B"/>
    <w:rsid w:val="001A6DA4"/>
    <w:rsid w:val="001A7038"/>
    <w:rsid w:val="001A76A8"/>
    <w:rsid w:val="001B54A5"/>
    <w:rsid w:val="001B70B6"/>
    <w:rsid w:val="001C5FEC"/>
    <w:rsid w:val="001D08E7"/>
    <w:rsid w:val="001D0CF3"/>
    <w:rsid w:val="001D1E4A"/>
    <w:rsid w:val="001D23D6"/>
    <w:rsid w:val="001D24E4"/>
    <w:rsid w:val="001D27F2"/>
    <w:rsid w:val="001D2DA2"/>
    <w:rsid w:val="001D4EEC"/>
    <w:rsid w:val="001D5E62"/>
    <w:rsid w:val="001D720D"/>
    <w:rsid w:val="001D7A66"/>
    <w:rsid w:val="001E0D15"/>
    <w:rsid w:val="001E66E8"/>
    <w:rsid w:val="001E6D41"/>
    <w:rsid w:val="001E7F0C"/>
    <w:rsid w:val="001F13CD"/>
    <w:rsid w:val="001F213A"/>
    <w:rsid w:val="001F2524"/>
    <w:rsid w:val="001F4AE4"/>
    <w:rsid w:val="001F51D6"/>
    <w:rsid w:val="001F7149"/>
    <w:rsid w:val="002014CF"/>
    <w:rsid w:val="00201AD5"/>
    <w:rsid w:val="00203B44"/>
    <w:rsid w:val="0020513E"/>
    <w:rsid w:val="00210D98"/>
    <w:rsid w:val="00211343"/>
    <w:rsid w:val="00211ED5"/>
    <w:rsid w:val="002124FA"/>
    <w:rsid w:val="002126A4"/>
    <w:rsid w:val="00212DCE"/>
    <w:rsid w:val="00214017"/>
    <w:rsid w:val="002152D6"/>
    <w:rsid w:val="00215E3B"/>
    <w:rsid w:val="00216B6D"/>
    <w:rsid w:val="00216CAD"/>
    <w:rsid w:val="002176A0"/>
    <w:rsid w:val="00217BC9"/>
    <w:rsid w:val="00220B5F"/>
    <w:rsid w:val="00221112"/>
    <w:rsid w:val="002246D8"/>
    <w:rsid w:val="00224A15"/>
    <w:rsid w:val="002260E0"/>
    <w:rsid w:val="00226B3B"/>
    <w:rsid w:val="00233906"/>
    <w:rsid w:val="00233A6F"/>
    <w:rsid w:val="00233AF1"/>
    <w:rsid w:val="00234BCB"/>
    <w:rsid w:val="0023637A"/>
    <w:rsid w:val="00237435"/>
    <w:rsid w:val="00241B04"/>
    <w:rsid w:val="00242D49"/>
    <w:rsid w:val="00244BBA"/>
    <w:rsid w:val="00251C51"/>
    <w:rsid w:val="00251F28"/>
    <w:rsid w:val="00252876"/>
    <w:rsid w:val="0025431D"/>
    <w:rsid w:val="00263625"/>
    <w:rsid w:val="00265511"/>
    <w:rsid w:val="0026791B"/>
    <w:rsid w:val="00270E8B"/>
    <w:rsid w:val="00273E20"/>
    <w:rsid w:val="002754CE"/>
    <w:rsid w:val="00275738"/>
    <w:rsid w:val="00282569"/>
    <w:rsid w:val="002826A4"/>
    <w:rsid w:val="00284303"/>
    <w:rsid w:val="00284981"/>
    <w:rsid w:val="0028611D"/>
    <w:rsid w:val="00286399"/>
    <w:rsid w:val="0028755F"/>
    <w:rsid w:val="00290310"/>
    <w:rsid w:val="00291E33"/>
    <w:rsid w:val="00293108"/>
    <w:rsid w:val="0029532D"/>
    <w:rsid w:val="00296B9A"/>
    <w:rsid w:val="002970C3"/>
    <w:rsid w:val="002976C5"/>
    <w:rsid w:val="002978A3"/>
    <w:rsid w:val="002A082D"/>
    <w:rsid w:val="002A1AE2"/>
    <w:rsid w:val="002A3126"/>
    <w:rsid w:val="002B31F1"/>
    <w:rsid w:val="002B5A23"/>
    <w:rsid w:val="002B6AC4"/>
    <w:rsid w:val="002B71F9"/>
    <w:rsid w:val="002C0AD7"/>
    <w:rsid w:val="002C6C6D"/>
    <w:rsid w:val="002D11FB"/>
    <w:rsid w:val="002D31D5"/>
    <w:rsid w:val="002D4133"/>
    <w:rsid w:val="002D67E6"/>
    <w:rsid w:val="002E2A9A"/>
    <w:rsid w:val="002E4B40"/>
    <w:rsid w:val="002E5938"/>
    <w:rsid w:val="002E698F"/>
    <w:rsid w:val="002F5151"/>
    <w:rsid w:val="002F6A1F"/>
    <w:rsid w:val="002F70D9"/>
    <w:rsid w:val="002F7D92"/>
    <w:rsid w:val="0030038C"/>
    <w:rsid w:val="003009B2"/>
    <w:rsid w:val="00303D7F"/>
    <w:rsid w:val="00303D9F"/>
    <w:rsid w:val="00306773"/>
    <w:rsid w:val="00311893"/>
    <w:rsid w:val="003128E5"/>
    <w:rsid w:val="00315EE2"/>
    <w:rsid w:val="003169EB"/>
    <w:rsid w:val="003173AC"/>
    <w:rsid w:val="00317696"/>
    <w:rsid w:val="00320953"/>
    <w:rsid w:val="0032182E"/>
    <w:rsid w:val="00321D33"/>
    <w:rsid w:val="00325322"/>
    <w:rsid w:val="00330CE7"/>
    <w:rsid w:val="00331CD2"/>
    <w:rsid w:val="00332D38"/>
    <w:rsid w:val="00334031"/>
    <w:rsid w:val="00336025"/>
    <w:rsid w:val="00341FE7"/>
    <w:rsid w:val="003429B9"/>
    <w:rsid w:val="00344FBA"/>
    <w:rsid w:val="003474C5"/>
    <w:rsid w:val="00347FDD"/>
    <w:rsid w:val="003524AD"/>
    <w:rsid w:val="00352F17"/>
    <w:rsid w:val="00354479"/>
    <w:rsid w:val="00354B2B"/>
    <w:rsid w:val="00354D42"/>
    <w:rsid w:val="00355564"/>
    <w:rsid w:val="00355768"/>
    <w:rsid w:val="00356864"/>
    <w:rsid w:val="00356C06"/>
    <w:rsid w:val="00356F06"/>
    <w:rsid w:val="003572DF"/>
    <w:rsid w:val="00357955"/>
    <w:rsid w:val="003614F3"/>
    <w:rsid w:val="00365BC3"/>
    <w:rsid w:val="00367764"/>
    <w:rsid w:val="003767B2"/>
    <w:rsid w:val="003801BC"/>
    <w:rsid w:val="0038077A"/>
    <w:rsid w:val="00380E5C"/>
    <w:rsid w:val="00381A5E"/>
    <w:rsid w:val="00381F34"/>
    <w:rsid w:val="00383397"/>
    <w:rsid w:val="00383F1F"/>
    <w:rsid w:val="00390A48"/>
    <w:rsid w:val="00392569"/>
    <w:rsid w:val="00392DAC"/>
    <w:rsid w:val="00393490"/>
    <w:rsid w:val="00393CB8"/>
    <w:rsid w:val="00396B19"/>
    <w:rsid w:val="003A0333"/>
    <w:rsid w:val="003A160B"/>
    <w:rsid w:val="003A31F2"/>
    <w:rsid w:val="003A3435"/>
    <w:rsid w:val="003A50C9"/>
    <w:rsid w:val="003A52C5"/>
    <w:rsid w:val="003A5675"/>
    <w:rsid w:val="003A5ADD"/>
    <w:rsid w:val="003A66D9"/>
    <w:rsid w:val="003A6D94"/>
    <w:rsid w:val="003B101F"/>
    <w:rsid w:val="003B27BD"/>
    <w:rsid w:val="003B43DA"/>
    <w:rsid w:val="003B47DF"/>
    <w:rsid w:val="003B628C"/>
    <w:rsid w:val="003B6C66"/>
    <w:rsid w:val="003B7F71"/>
    <w:rsid w:val="003C1FA8"/>
    <w:rsid w:val="003C2F35"/>
    <w:rsid w:val="003C4605"/>
    <w:rsid w:val="003C4C22"/>
    <w:rsid w:val="003C5ACE"/>
    <w:rsid w:val="003D1148"/>
    <w:rsid w:val="003D3DC1"/>
    <w:rsid w:val="003D444E"/>
    <w:rsid w:val="003E04BF"/>
    <w:rsid w:val="003E0972"/>
    <w:rsid w:val="003E11FE"/>
    <w:rsid w:val="003E36F2"/>
    <w:rsid w:val="003E429A"/>
    <w:rsid w:val="003E51DA"/>
    <w:rsid w:val="003E630C"/>
    <w:rsid w:val="003E7104"/>
    <w:rsid w:val="003E786B"/>
    <w:rsid w:val="003E7F2D"/>
    <w:rsid w:val="003F3828"/>
    <w:rsid w:val="003F5DA3"/>
    <w:rsid w:val="003F7FC3"/>
    <w:rsid w:val="00400487"/>
    <w:rsid w:val="00400F65"/>
    <w:rsid w:val="00403949"/>
    <w:rsid w:val="0040482F"/>
    <w:rsid w:val="00404BC4"/>
    <w:rsid w:val="00405B48"/>
    <w:rsid w:val="0040674A"/>
    <w:rsid w:val="00407922"/>
    <w:rsid w:val="00407FD5"/>
    <w:rsid w:val="00410D43"/>
    <w:rsid w:val="0041227B"/>
    <w:rsid w:val="00412E7B"/>
    <w:rsid w:val="0041325F"/>
    <w:rsid w:val="00413FA6"/>
    <w:rsid w:val="004170ED"/>
    <w:rsid w:val="00417A2D"/>
    <w:rsid w:val="0042233D"/>
    <w:rsid w:val="00422FFA"/>
    <w:rsid w:val="00423CCF"/>
    <w:rsid w:val="00423EA9"/>
    <w:rsid w:val="00424DF4"/>
    <w:rsid w:val="00427579"/>
    <w:rsid w:val="004300FA"/>
    <w:rsid w:val="00430E44"/>
    <w:rsid w:val="00434B2B"/>
    <w:rsid w:val="004363B7"/>
    <w:rsid w:val="00436AD4"/>
    <w:rsid w:val="004377F0"/>
    <w:rsid w:val="004430FF"/>
    <w:rsid w:val="00446B31"/>
    <w:rsid w:val="0044749A"/>
    <w:rsid w:val="00451AC9"/>
    <w:rsid w:val="004629E6"/>
    <w:rsid w:val="0046344B"/>
    <w:rsid w:val="00463ECF"/>
    <w:rsid w:val="004644C1"/>
    <w:rsid w:val="00465186"/>
    <w:rsid w:val="00465E16"/>
    <w:rsid w:val="00467E46"/>
    <w:rsid w:val="00471830"/>
    <w:rsid w:val="0047272B"/>
    <w:rsid w:val="00472CB2"/>
    <w:rsid w:val="00473DDA"/>
    <w:rsid w:val="00474A6F"/>
    <w:rsid w:val="00475223"/>
    <w:rsid w:val="004768CB"/>
    <w:rsid w:val="00476BEB"/>
    <w:rsid w:val="004803BA"/>
    <w:rsid w:val="00481660"/>
    <w:rsid w:val="00485D4C"/>
    <w:rsid w:val="004860BB"/>
    <w:rsid w:val="004905F4"/>
    <w:rsid w:val="00490687"/>
    <w:rsid w:val="00490C80"/>
    <w:rsid w:val="00495BC4"/>
    <w:rsid w:val="004A13C8"/>
    <w:rsid w:val="004A30D9"/>
    <w:rsid w:val="004A6557"/>
    <w:rsid w:val="004A73E3"/>
    <w:rsid w:val="004A7823"/>
    <w:rsid w:val="004B14DD"/>
    <w:rsid w:val="004B6A2D"/>
    <w:rsid w:val="004B73B8"/>
    <w:rsid w:val="004C0F3C"/>
    <w:rsid w:val="004C1E8B"/>
    <w:rsid w:val="004C2A51"/>
    <w:rsid w:val="004C2D24"/>
    <w:rsid w:val="004C3186"/>
    <w:rsid w:val="004C3391"/>
    <w:rsid w:val="004C488C"/>
    <w:rsid w:val="004C5651"/>
    <w:rsid w:val="004C5F09"/>
    <w:rsid w:val="004C7C63"/>
    <w:rsid w:val="004D2CB1"/>
    <w:rsid w:val="004D63E2"/>
    <w:rsid w:val="004D6F41"/>
    <w:rsid w:val="004D7268"/>
    <w:rsid w:val="004E082A"/>
    <w:rsid w:val="004E0F89"/>
    <w:rsid w:val="004E1643"/>
    <w:rsid w:val="004E1A6D"/>
    <w:rsid w:val="004E3858"/>
    <w:rsid w:val="004E71E2"/>
    <w:rsid w:val="004F09AA"/>
    <w:rsid w:val="004F2E87"/>
    <w:rsid w:val="004F4AE3"/>
    <w:rsid w:val="004F4DF3"/>
    <w:rsid w:val="005006F1"/>
    <w:rsid w:val="00502689"/>
    <w:rsid w:val="00502E52"/>
    <w:rsid w:val="00505678"/>
    <w:rsid w:val="00505D31"/>
    <w:rsid w:val="005064BB"/>
    <w:rsid w:val="005075FD"/>
    <w:rsid w:val="00511201"/>
    <w:rsid w:val="00512E60"/>
    <w:rsid w:val="005156D4"/>
    <w:rsid w:val="00516785"/>
    <w:rsid w:val="00516BC9"/>
    <w:rsid w:val="00516FAC"/>
    <w:rsid w:val="00522401"/>
    <w:rsid w:val="00523F3B"/>
    <w:rsid w:val="00525B94"/>
    <w:rsid w:val="005314EF"/>
    <w:rsid w:val="00533A42"/>
    <w:rsid w:val="005365E9"/>
    <w:rsid w:val="005377ED"/>
    <w:rsid w:val="0054152E"/>
    <w:rsid w:val="00544C6A"/>
    <w:rsid w:val="00547D4C"/>
    <w:rsid w:val="0055193E"/>
    <w:rsid w:val="00553704"/>
    <w:rsid w:val="005553C8"/>
    <w:rsid w:val="00555E26"/>
    <w:rsid w:val="005568A8"/>
    <w:rsid w:val="00562542"/>
    <w:rsid w:val="0056264C"/>
    <w:rsid w:val="00562BFA"/>
    <w:rsid w:val="00564BA4"/>
    <w:rsid w:val="0056536E"/>
    <w:rsid w:val="00565D33"/>
    <w:rsid w:val="0056744D"/>
    <w:rsid w:val="0057245C"/>
    <w:rsid w:val="005725FD"/>
    <w:rsid w:val="005745CB"/>
    <w:rsid w:val="00576BE7"/>
    <w:rsid w:val="00576DE8"/>
    <w:rsid w:val="00576DFA"/>
    <w:rsid w:val="0057731F"/>
    <w:rsid w:val="00581620"/>
    <w:rsid w:val="00581C05"/>
    <w:rsid w:val="00581D2E"/>
    <w:rsid w:val="005820FB"/>
    <w:rsid w:val="00584568"/>
    <w:rsid w:val="00590FE5"/>
    <w:rsid w:val="005942E8"/>
    <w:rsid w:val="00594DDD"/>
    <w:rsid w:val="00595CBF"/>
    <w:rsid w:val="00595F71"/>
    <w:rsid w:val="00596B96"/>
    <w:rsid w:val="005A0A32"/>
    <w:rsid w:val="005A1156"/>
    <w:rsid w:val="005A2BC2"/>
    <w:rsid w:val="005A43E4"/>
    <w:rsid w:val="005A4EA1"/>
    <w:rsid w:val="005A6149"/>
    <w:rsid w:val="005A77E2"/>
    <w:rsid w:val="005B0013"/>
    <w:rsid w:val="005B0371"/>
    <w:rsid w:val="005B520E"/>
    <w:rsid w:val="005B5862"/>
    <w:rsid w:val="005B58CE"/>
    <w:rsid w:val="005B5904"/>
    <w:rsid w:val="005B6158"/>
    <w:rsid w:val="005B65D1"/>
    <w:rsid w:val="005B66BF"/>
    <w:rsid w:val="005B7D9B"/>
    <w:rsid w:val="005C11E0"/>
    <w:rsid w:val="005C287B"/>
    <w:rsid w:val="005C6A75"/>
    <w:rsid w:val="005D0094"/>
    <w:rsid w:val="005D11BD"/>
    <w:rsid w:val="005D133B"/>
    <w:rsid w:val="005D2EE5"/>
    <w:rsid w:val="005D40A9"/>
    <w:rsid w:val="005D46F1"/>
    <w:rsid w:val="005E36E6"/>
    <w:rsid w:val="005E57BB"/>
    <w:rsid w:val="005E6B57"/>
    <w:rsid w:val="005F0C51"/>
    <w:rsid w:val="005F176C"/>
    <w:rsid w:val="005F1B22"/>
    <w:rsid w:val="005F5FEE"/>
    <w:rsid w:val="005F6CBC"/>
    <w:rsid w:val="00601FE7"/>
    <w:rsid w:val="00603B42"/>
    <w:rsid w:val="00611409"/>
    <w:rsid w:val="006134FD"/>
    <w:rsid w:val="006165BA"/>
    <w:rsid w:val="006177B8"/>
    <w:rsid w:val="006211FF"/>
    <w:rsid w:val="00621C53"/>
    <w:rsid w:val="0062217F"/>
    <w:rsid w:val="0062279D"/>
    <w:rsid w:val="0062427C"/>
    <w:rsid w:val="0062569D"/>
    <w:rsid w:val="00626915"/>
    <w:rsid w:val="00627B4E"/>
    <w:rsid w:val="00627C20"/>
    <w:rsid w:val="00630782"/>
    <w:rsid w:val="00633190"/>
    <w:rsid w:val="00635916"/>
    <w:rsid w:val="00636615"/>
    <w:rsid w:val="006405BA"/>
    <w:rsid w:val="00643980"/>
    <w:rsid w:val="00644E33"/>
    <w:rsid w:val="0064556E"/>
    <w:rsid w:val="0065094D"/>
    <w:rsid w:val="0065139A"/>
    <w:rsid w:val="00651951"/>
    <w:rsid w:val="006521EF"/>
    <w:rsid w:val="0065557A"/>
    <w:rsid w:val="00665020"/>
    <w:rsid w:val="006658F6"/>
    <w:rsid w:val="00666593"/>
    <w:rsid w:val="006701E3"/>
    <w:rsid w:val="006711C4"/>
    <w:rsid w:val="00672766"/>
    <w:rsid w:val="00672CED"/>
    <w:rsid w:val="006752CA"/>
    <w:rsid w:val="00675E12"/>
    <w:rsid w:val="00677FC4"/>
    <w:rsid w:val="00680C25"/>
    <w:rsid w:val="00681FB5"/>
    <w:rsid w:val="00684714"/>
    <w:rsid w:val="00686DE5"/>
    <w:rsid w:val="00687424"/>
    <w:rsid w:val="00690332"/>
    <w:rsid w:val="00690730"/>
    <w:rsid w:val="00690C59"/>
    <w:rsid w:val="0069505E"/>
    <w:rsid w:val="0069710E"/>
    <w:rsid w:val="006A038E"/>
    <w:rsid w:val="006A1458"/>
    <w:rsid w:val="006A1F5A"/>
    <w:rsid w:val="006A3D17"/>
    <w:rsid w:val="006A3E45"/>
    <w:rsid w:val="006A4CD4"/>
    <w:rsid w:val="006A5B7D"/>
    <w:rsid w:val="006A5CC7"/>
    <w:rsid w:val="006B4D38"/>
    <w:rsid w:val="006C5863"/>
    <w:rsid w:val="006D0574"/>
    <w:rsid w:val="006D321A"/>
    <w:rsid w:val="006D3254"/>
    <w:rsid w:val="006D3D51"/>
    <w:rsid w:val="006D452A"/>
    <w:rsid w:val="006D4630"/>
    <w:rsid w:val="006D505F"/>
    <w:rsid w:val="006D52C6"/>
    <w:rsid w:val="006D6756"/>
    <w:rsid w:val="006E3ADB"/>
    <w:rsid w:val="006E3C3B"/>
    <w:rsid w:val="006E3F5E"/>
    <w:rsid w:val="006E629B"/>
    <w:rsid w:val="006E7023"/>
    <w:rsid w:val="006E72EC"/>
    <w:rsid w:val="006E7B0A"/>
    <w:rsid w:val="006F0BC9"/>
    <w:rsid w:val="006F31C9"/>
    <w:rsid w:val="006F3539"/>
    <w:rsid w:val="00700338"/>
    <w:rsid w:val="007020CB"/>
    <w:rsid w:val="00703F54"/>
    <w:rsid w:val="00710917"/>
    <w:rsid w:val="007176CE"/>
    <w:rsid w:val="0071775D"/>
    <w:rsid w:val="0072338F"/>
    <w:rsid w:val="00723BD3"/>
    <w:rsid w:val="007240BB"/>
    <w:rsid w:val="0072595F"/>
    <w:rsid w:val="007259B0"/>
    <w:rsid w:val="007270D4"/>
    <w:rsid w:val="007315E7"/>
    <w:rsid w:val="00733949"/>
    <w:rsid w:val="00733EAA"/>
    <w:rsid w:val="00733FFD"/>
    <w:rsid w:val="007342B1"/>
    <w:rsid w:val="00734423"/>
    <w:rsid w:val="0073525C"/>
    <w:rsid w:val="00736C7B"/>
    <w:rsid w:val="00736FBB"/>
    <w:rsid w:val="007377E5"/>
    <w:rsid w:val="0074022C"/>
    <w:rsid w:val="0074175C"/>
    <w:rsid w:val="00741AF6"/>
    <w:rsid w:val="00742A78"/>
    <w:rsid w:val="007433D2"/>
    <w:rsid w:val="00743570"/>
    <w:rsid w:val="007469B3"/>
    <w:rsid w:val="007471D2"/>
    <w:rsid w:val="00747AAE"/>
    <w:rsid w:val="00750DD3"/>
    <w:rsid w:val="007521EE"/>
    <w:rsid w:val="007527A7"/>
    <w:rsid w:val="007542DD"/>
    <w:rsid w:val="00754423"/>
    <w:rsid w:val="00754F2F"/>
    <w:rsid w:val="00755AA5"/>
    <w:rsid w:val="00756E2B"/>
    <w:rsid w:val="0076360A"/>
    <w:rsid w:val="00764749"/>
    <w:rsid w:val="007647A6"/>
    <w:rsid w:val="00764E40"/>
    <w:rsid w:val="00770E95"/>
    <w:rsid w:val="00775C19"/>
    <w:rsid w:val="00776099"/>
    <w:rsid w:val="00777750"/>
    <w:rsid w:val="00780410"/>
    <w:rsid w:val="007808C8"/>
    <w:rsid w:val="007810A3"/>
    <w:rsid w:val="00783217"/>
    <w:rsid w:val="007847FF"/>
    <w:rsid w:val="00785B55"/>
    <w:rsid w:val="00785BB0"/>
    <w:rsid w:val="00785F4F"/>
    <w:rsid w:val="00787397"/>
    <w:rsid w:val="007879F0"/>
    <w:rsid w:val="007904FB"/>
    <w:rsid w:val="007923E9"/>
    <w:rsid w:val="00793078"/>
    <w:rsid w:val="00793DA8"/>
    <w:rsid w:val="0079451B"/>
    <w:rsid w:val="007947A4"/>
    <w:rsid w:val="00795059"/>
    <w:rsid w:val="00796289"/>
    <w:rsid w:val="007962F9"/>
    <w:rsid w:val="00796505"/>
    <w:rsid w:val="00797B8B"/>
    <w:rsid w:val="007A09F6"/>
    <w:rsid w:val="007A1957"/>
    <w:rsid w:val="007A2669"/>
    <w:rsid w:val="007A39DD"/>
    <w:rsid w:val="007A7080"/>
    <w:rsid w:val="007B0BF3"/>
    <w:rsid w:val="007B2972"/>
    <w:rsid w:val="007B2C24"/>
    <w:rsid w:val="007B5059"/>
    <w:rsid w:val="007B528F"/>
    <w:rsid w:val="007B60AC"/>
    <w:rsid w:val="007B67EF"/>
    <w:rsid w:val="007B7583"/>
    <w:rsid w:val="007C0BAF"/>
    <w:rsid w:val="007C15A7"/>
    <w:rsid w:val="007C2B66"/>
    <w:rsid w:val="007C432B"/>
    <w:rsid w:val="007C5697"/>
    <w:rsid w:val="007C59B1"/>
    <w:rsid w:val="007C7EEF"/>
    <w:rsid w:val="007D0FEC"/>
    <w:rsid w:val="007D13E0"/>
    <w:rsid w:val="007D16FE"/>
    <w:rsid w:val="007D5CA7"/>
    <w:rsid w:val="007E1E74"/>
    <w:rsid w:val="007E6DD1"/>
    <w:rsid w:val="007E78DB"/>
    <w:rsid w:val="007F423E"/>
    <w:rsid w:val="007F4508"/>
    <w:rsid w:val="007F4A22"/>
    <w:rsid w:val="007F5476"/>
    <w:rsid w:val="007F5785"/>
    <w:rsid w:val="007F75DC"/>
    <w:rsid w:val="00805E47"/>
    <w:rsid w:val="008069D2"/>
    <w:rsid w:val="00810A9B"/>
    <w:rsid w:val="00811045"/>
    <w:rsid w:val="0081212D"/>
    <w:rsid w:val="00812EF7"/>
    <w:rsid w:val="00812FC3"/>
    <w:rsid w:val="00815557"/>
    <w:rsid w:val="00817894"/>
    <w:rsid w:val="00820305"/>
    <w:rsid w:val="00827B49"/>
    <w:rsid w:val="00827E5F"/>
    <w:rsid w:val="00827E9D"/>
    <w:rsid w:val="008305A1"/>
    <w:rsid w:val="008355B3"/>
    <w:rsid w:val="0083625A"/>
    <w:rsid w:val="008372CB"/>
    <w:rsid w:val="00837713"/>
    <w:rsid w:val="0084000E"/>
    <w:rsid w:val="00840C7B"/>
    <w:rsid w:val="0084268A"/>
    <w:rsid w:val="00843108"/>
    <w:rsid w:val="00843978"/>
    <w:rsid w:val="008441CE"/>
    <w:rsid w:val="00845D63"/>
    <w:rsid w:val="00846657"/>
    <w:rsid w:val="008503DA"/>
    <w:rsid w:val="00852AB0"/>
    <w:rsid w:val="00853605"/>
    <w:rsid w:val="00854F0E"/>
    <w:rsid w:val="0085555C"/>
    <w:rsid w:val="00857D25"/>
    <w:rsid w:val="0086006C"/>
    <w:rsid w:val="00860119"/>
    <w:rsid w:val="0086039B"/>
    <w:rsid w:val="008632A6"/>
    <w:rsid w:val="00864639"/>
    <w:rsid w:val="0086488D"/>
    <w:rsid w:val="00867BE6"/>
    <w:rsid w:val="008701CD"/>
    <w:rsid w:val="0087309C"/>
    <w:rsid w:val="00874ED2"/>
    <w:rsid w:val="00875814"/>
    <w:rsid w:val="00875889"/>
    <w:rsid w:val="00876066"/>
    <w:rsid w:val="00876B20"/>
    <w:rsid w:val="00880371"/>
    <w:rsid w:val="008818A0"/>
    <w:rsid w:val="00883008"/>
    <w:rsid w:val="00883370"/>
    <w:rsid w:val="00883829"/>
    <w:rsid w:val="00884756"/>
    <w:rsid w:val="00887BFE"/>
    <w:rsid w:val="008908E6"/>
    <w:rsid w:val="008924D9"/>
    <w:rsid w:val="00893A56"/>
    <w:rsid w:val="008953ED"/>
    <w:rsid w:val="00895FFD"/>
    <w:rsid w:val="00896F83"/>
    <w:rsid w:val="008A264A"/>
    <w:rsid w:val="008A2D14"/>
    <w:rsid w:val="008B03DE"/>
    <w:rsid w:val="008B1558"/>
    <w:rsid w:val="008B42F0"/>
    <w:rsid w:val="008B4D85"/>
    <w:rsid w:val="008C1808"/>
    <w:rsid w:val="008C2428"/>
    <w:rsid w:val="008C5466"/>
    <w:rsid w:val="008C5644"/>
    <w:rsid w:val="008C75D1"/>
    <w:rsid w:val="008C7711"/>
    <w:rsid w:val="008D0F1D"/>
    <w:rsid w:val="008D56E1"/>
    <w:rsid w:val="008D5E29"/>
    <w:rsid w:val="008D661F"/>
    <w:rsid w:val="008E0390"/>
    <w:rsid w:val="008E33E1"/>
    <w:rsid w:val="008E3637"/>
    <w:rsid w:val="008E7809"/>
    <w:rsid w:val="008E7D63"/>
    <w:rsid w:val="008F003D"/>
    <w:rsid w:val="008F0109"/>
    <w:rsid w:val="008F3693"/>
    <w:rsid w:val="008F3CC8"/>
    <w:rsid w:val="008F4119"/>
    <w:rsid w:val="008F59C1"/>
    <w:rsid w:val="008F684A"/>
    <w:rsid w:val="008F7494"/>
    <w:rsid w:val="008F7D3E"/>
    <w:rsid w:val="00902355"/>
    <w:rsid w:val="00905CF7"/>
    <w:rsid w:val="00911D01"/>
    <w:rsid w:val="00913194"/>
    <w:rsid w:val="00913C75"/>
    <w:rsid w:val="009208D4"/>
    <w:rsid w:val="009231D7"/>
    <w:rsid w:val="00923BE5"/>
    <w:rsid w:val="00925479"/>
    <w:rsid w:val="00926D46"/>
    <w:rsid w:val="00932D66"/>
    <w:rsid w:val="00932F98"/>
    <w:rsid w:val="0093372C"/>
    <w:rsid w:val="00933DDF"/>
    <w:rsid w:val="00934434"/>
    <w:rsid w:val="00937651"/>
    <w:rsid w:val="00941939"/>
    <w:rsid w:val="00941A5C"/>
    <w:rsid w:val="00942398"/>
    <w:rsid w:val="00944843"/>
    <w:rsid w:val="0094516C"/>
    <w:rsid w:val="00945D63"/>
    <w:rsid w:val="00952341"/>
    <w:rsid w:val="00955845"/>
    <w:rsid w:val="0095587C"/>
    <w:rsid w:val="00955A44"/>
    <w:rsid w:val="00956061"/>
    <w:rsid w:val="00956231"/>
    <w:rsid w:val="009564DE"/>
    <w:rsid w:val="00957586"/>
    <w:rsid w:val="00957650"/>
    <w:rsid w:val="0096136D"/>
    <w:rsid w:val="00961DBD"/>
    <w:rsid w:val="00962770"/>
    <w:rsid w:val="0096346E"/>
    <w:rsid w:val="00966C5F"/>
    <w:rsid w:val="00973938"/>
    <w:rsid w:val="00973A2C"/>
    <w:rsid w:val="00974539"/>
    <w:rsid w:val="00975962"/>
    <w:rsid w:val="00980889"/>
    <w:rsid w:val="00981A46"/>
    <w:rsid w:val="0098210C"/>
    <w:rsid w:val="00982FCB"/>
    <w:rsid w:val="00983167"/>
    <w:rsid w:val="00985BC9"/>
    <w:rsid w:val="00985FA4"/>
    <w:rsid w:val="0098700E"/>
    <w:rsid w:val="00987D92"/>
    <w:rsid w:val="00990C70"/>
    <w:rsid w:val="009922F5"/>
    <w:rsid w:val="00992373"/>
    <w:rsid w:val="0099237D"/>
    <w:rsid w:val="009928F4"/>
    <w:rsid w:val="00995C14"/>
    <w:rsid w:val="00996410"/>
    <w:rsid w:val="009967F7"/>
    <w:rsid w:val="00996F38"/>
    <w:rsid w:val="00996FF9"/>
    <w:rsid w:val="00997A0A"/>
    <w:rsid w:val="009A2714"/>
    <w:rsid w:val="009A56F1"/>
    <w:rsid w:val="009A5C89"/>
    <w:rsid w:val="009B0AFA"/>
    <w:rsid w:val="009B1D17"/>
    <w:rsid w:val="009B33BB"/>
    <w:rsid w:val="009B4060"/>
    <w:rsid w:val="009B5973"/>
    <w:rsid w:val="009C01B4"/>
    <w:rsid w:val="009C05C4"/>
    <w:rsid w:val="009C069F"/>
    <w:rsid w:val="009C32CA"/>
    <w:rsid w:val="009C5379"/>
    <w:rsid w:val="009D1985"/>
    <w:rsid w:val="009D2F61"/>
    <w:rsid w:val="009D3C38"/>
    <w:rsid w:val="009D749D"/>
    <w:rsid w:val="009E3367"/>
    <w:rsid w:val="009E349A"/>
    <w:rsid w:val="009E3DC7"/>
    <w:rsid w:val="009E4929"/>
    <w:rsid w:val="009E7F71"/>
    <w:rsid w:val="009F040F"/>
    <w:rsid w:val="009F0D0C"/>
    <w:rsid w:val="009F324A"/>
    <w:rsid w:val="009F38E9"/>
    <w:rsid w:val="009F3C5C"/>
    <w:rsid w:val="009F47DC"/>
    <w:rsid w:val="009F493F"/>
    <w:rsid w:val="00A01508"/>
    <w:rsid w:val="00A019FE"/>
    <w:rsid w:val="00A03156"/>
    <w:rsid w:val="00A0540E"/>
    <w:rsid w:val="00A062C5"/>
    <w:rsid w:val="00A115CB"/>
    <w:rsid w:val="00A13421"/>
    <w:rsid w:val="00A14B58"/>
    <w:rsid w:val="00A16106"/>
    <w:rsid w:val="00A179DF"/>
    <w:rsid w:val="00A17D4D"/>
    <w:rsid w:val="00A2011D"/>
    <w:rsid w:val="00A2524A"/>
    <w:rsid w:val="00A26608"/>
    <w:rsid w:val="00A26C82"/>
    <w:rsid w:val="00A27272"/>
    <w:rsid w:val="00A27C94"/>
    <w:rsid w:val="00A31C22"/>
    <w:rsid w:val="00A34ED8"/>
    <w:rsid w:val="00A3586C"/>
    <w:rsid w:val="00A37EFF"/>
    <w:rsid w:val="00A40958"/>
    <w:rsid w:val="00A41406"/>
    <w:rsid w:val="00A422DD"/>
    <w:rsid w:val="00A426AD"/>
    <w:rsid w:val="00A50C49"/>
    <w:rsid w:val="00A519CE"/>
    <w:rsid w:val="00A51D4A"/>
    <w:rsid w:val="00A52136"/>
    <w:rsid w:val="00A53824"/>
    <w:rsid w:val="00A53F45"/>
    <w:rsid w:val="00A54BF4"/>
    <w:rsid w:val="00A556C8"/>
    <w:rsid w:val="00A563D4"/>
    <w:rsid w:val="00A600BA"/>
    <w:rsid w:val="00A61CEE"/>
    <w:rsid w:val="00A620CE"/>
    <w:rsid w:val="00A62446"/>
    <w:rsid w:val="00A630C4"/>
    <w:rsid w:val="00A66359"/>
    <w:rsid w:val="00A72B89"/>
    <w:rsid w:val="00A73AE9"/>
    <w:rsid w:val="00A748D8"/>
    <w:rsid w:val="00A805AC"/>
    <w:rsid w:val="00A814B4"/>
    <w:rsid w:val="00A81CCC"/>
    <w:rsid w:val="00A838DB"/>
    <w:rsid w:val="00A846FF"/>
    <w:rsid w:val="00A91E81"/>
    <w:rsid w:val="00A91FA0"/>
    <w:rsid w:val="00A92656"/>
    <w:rsid w:val="00A92FA2"/>
    <w:rsid w:val="00A96C55"/>
    <w:rsid w:val="00AA0EA9"/>
    <w:rsid w:val="00AA250E"/>
    <w:rsid w:val="00AA2C12"/>
    <w:rsid w:val="00AA4F32"/>
    <w:rsid w:val="00AA52E7"/>
    <w:rsid w:val="00AA7757"/>
    <w:rsid w:val="00AA7C76"/>
    <w:rsid w:val="00AB03FB"/>
    <w:rsid w:val="00AB13C1"/>
    <w:rsid w:val="00AB4C54"/>
    <w:rsid w:val="00AC126F"/>
    <w:rsid w:val="00AC2C15"/>
    <w:rsid w:val="00AC2D17"/>
    <w:rsid w:val="00AC2FB1"/>
    <w:rsid w:val="00AC5B1B"/>
    <w:rsid w:val="00AD25BC"/>
    <w:rsid w:val="00AD4EA7"/>
    <w:rsid w:val="00AD56C4"/>
    <w:rsid w:val="00AD72D5"/>
    <w:rsid w:val="00AE2850"/>
    <w:rsid w:val="00AE28BB"/>
    <w:rsid w:val="00AE6B6D"/>
    <w:rsid w:val="00AF141C"/>
    <w:rsid w:val="00AF1AE5"/>
    <w:rsid w:val="00AF1FCF"/>
    <w:rsid w:val="00AF5A5E"/>
    <w:rsid w:val="00AF657E"/>
    <w:rsid w:val="00AF6AA1"/>
    <w:rsid w:val="00B0014B"/>
    <w:rsid w:val="00B010C6"/>
    <w:rsid w:val="00B03740"/>
    <w:rsid w:val="00B04DD0"/>
    <w:rsid w:val="00B05BDC"/>
    <w:rsid w:val="00B06856"/>
    <w:rsid w:val="00B10105"/>
    <w:rsid w:val="00B10CFE"/>
    <w:rsid w:val="00B10F51"/>
    <w:rsid w:val="00B11680"/>
    <w:rsid w:val="00B13071"/>
    <w:rsid w:val="00B13100"/>
    <w:rsid w:val="00B1522D"/>
    <w:rsid w:val="00B15CE9"/>
    <w:rsid w:val="00B16E60"/>
    <w:rsid w:val="00B20C1C"/>
    <w:rsid w:val="00B24F6F"/>
    <w:rsid w:val="00B26139"/>
    <w:rsid w:val="00B26427"/>
    <w:rsid w:val="00B27CC3"/>
    <w:rsid w:val="00B313A0"/>
    <w:rsid w:val="00B32B2E"/>
    <w:rsid w:val="00B33637"/>
    <w:rsid w:val="00B36691"/>
    <w:rsid w:val="00B375D5"/>
    <w:rsid w:val="00B37BC4"/>
    <w:rsid w:val="00B37F47"/>
    <w:rsid w:val="00B4595C"/>
    <w:rsid w:val="00B472F9"/>
    <w:rsid w:val="00B47CC4"/>
    <w:rsid w:val="00B52BDE"/>
    <w:rsid w:val="00B530D8"/>
    <w:rsid w:val="00B533C2"/>
    <w:rsid w:val="00B54D3D"/>
    <w:rsid w:val="00B55094"/>
    <w:rsid w:val="00B561B8"/>
    <w:rsid w:val="00B56A00"/>
    <w:rsid w:val="00B56E3E"/>
    <w:rsid w:val="00B56EA8"/>
    <w:rsid w:val="00B56F83"/>
    <w:rsid w:val="00B60756"/>
    <w:rsid w:val="00B60A3D"/>
    <w:rsid w:val="00B62FE6"/>
    <w:rsid w:val="00B63A1E"/>
    <w:rsid w:val="00B660FA"/>
    <w:rsid w:val="00B71FC5"/>
    <w:rsid w:val="00B72B38"/>
    <w:rsid w:val="00B738C7"/>
    <w:rsid w:val="00B80528"/>
    <w:rsid w:val="00B82F3A"/>
    <w:rsid w:val="00B83626"/>
    <w:rsid w:val="00B840C1"/>
    <w:rsid w:val="00B86A28"/>
    <w:rsid w:val="00B86ADE"/>
    <w:rsid w:val="00B9109F"/>
    <w:rsid w:val="00B91155"/>
    <w:rsid w:val="00B919C5"/>
    <w:rsid w:val="00B92D4E"/>
    <w:rsid w:val="00B92D79"/>
    <w:rsid w:val="00B93D38"/>
    <w:rsid w:val="00B95F3B"/>
    <w:rsid w:val="00B97C59"/>
    <w:rsid w:val="00BA3C49"/>
    <w:rsid w:val="00BA48DD"/>
    <w:rsid w:val="00BA5EC8"/>
    <w:rsid w:val="00BB0362"/>
    <w:rsid w:val="00BB2118"/>
    <w:rsid w:val="00BB39F0"/>
    <w:rsid w:val="00BB5892"/>
    <w:rsid w:val="00BB58EC"/>
    <w:rsid w:val="00BB786B"/>
    <w:rsid w:val="00BC0958"/>
    <w:rsid w:val="00BC2455"/>
    <w:rsid w:val="00BC2F9D"/>
    <w:rsid w:val="00BC38CB"/>
    <w:rsid w:val="00BC6C72"/>
    <w:rsid w:val="00BD1948"/>
    <w:rsid w:val="00BD5106"/>
    <w:rsid w:val="00BD68BC"/>
    <w:rsid w:val="00BD70F0"/>
    <w:rsid w:val="00BE1297"/>
    <w:rsid w:val="00BE1BD2"/>
    <w:rsid w:val="00BE1DDA"/>
    <w:rsid w:val="00BE238B"/>
    <w:rsid w:val="00BE4187"/>
    <w:rsid w:val="00BE5A34"/>
    <w:rsid w:val="00BE5BCB"/>
    <w:rsid w:val="00BE7310"/>
    <w:rsid w:val="00BE7AB3"/>
    <w:rsid w:val="00BF2D87"/>
    <w:rsid w:val="00BF38A6"/>
    <w:rsid w:val="00BF3DC2"/>
    <w:rsid w:val="00BF4556"/>
    <w:rsid w:val="00BF4D3D"/>
    <w:rsid w:val="00BF4E00"/>
    <w:rsid w:val="00BF5E3A"/>
    <w:rsid w:val="00BF6803"/>
    <w:rsid w:val="00BF7B36"/>
    <w:rsid w:val="00C001FA"/>
    <w:rsid w:val="00C01E39"/>
    <w:rsid w:val="00C04DE2"/>
    <w:rsid w:val="00C05D27"/>
    <w:rsid w:val="00C1108D"/>
    <w:rsid w:val="00C1132A"/>
    <w:rsid w:val="00C1352E"/>
    <w:rsid w:val="00C163D9"/>
    <w:rsid w:val="00C217F8"/>
    <w:rsid w:val="00C23E8C"/>
    <w:rsid w:val="00C249D8"/>
    <w:rsid w:val="00C26133"/>
    <w:rsid w:val="00C26BD1"/>
    <w:rsid w:val="00C30FA6"/>
    <w:rsid w:val="00C33235"/>
    <w:rsid w:val="00C343BD"/>
    <w:rsid w:val="00C36BAA"/>
    <w:rsid w:val="00C41D45"/>
    <w:rsid w:val="00C438BD"/>
    <w:rsid w:val="00C45659"/>
    <w:rsid w:val="00C46DC7"/>
    <w:rsid w:val="00C4796F"/>
    <w:rsid w:val="00C50A77"/>
    <w:rsid w:val="00C50B00"/>
    <w:rsid w:val="00C52799"/>
    <w:rsid w:val="00C568D9"/>
    <w:rsid w:val="00C56E10"/>
    <w:rsid w:val="00C61D24"/>
    <w:rsid w:val="00C6239B"/>
    <w:rsid w:val="00C63D45"/>
    <w:rsid w:val="00C72AE1"/>
    <w:rsid w:val="00C7370D"/>
    <w:rsid w:val="00C73A75"/>
    <w:rsid w:val="00C76C87"/>
    <w:rsid w:val="00C81E58"/>
    <w:rsid w:val="00C82624"/>
    <w:rsid w:val="00C82D45"/>
    <w:rsid w:val="00C8349C"/>
    <w:rsid w:val="00C8422B"/>
    <w:rsid w:val="00C90B07"/>
    <w:rsid w:val="00C90F0E"/>
    <w:rsid w:val="00C91765"/>
    <w:rsid w:val="00C91FE6"/>
    <w:rsid w:val="00C92120"/>
    <w:rsid w:val="00C93CC6"/>
    <w:rsid w:val="00C953C0"/>
    <w:rsid w:val="00C954C5"/>
    <w:rsid w:val="00C976DF"/>
    <w:rsid w:val="00C9790C"/>
    <w:rsid w:val="00C97B22"/>
    <w:rsid w:val="00CA299C"/>
    <w:rsid w:val="00CA4A4D"/>
    <w:rsid w:val="00CA5351"/>
    <w:rsid w:val="00CA5E13"/>
    <w:rsid w:val="00CA7709"/>
    <w:rsid w:val="00CB0802"/>
    <w:rsid w:val="00CB0CAC"/>
    <w:rsid w:val="00CB13C0"/>
    <w:rsid w:val="00CB2B86"/>
    <w:rsid w:val="00CB2E2F"/>
    <w:rsid w:val="00CB3856"/>
    <w:rsid w:val="00CB4A74"/>
    <w:rsid w:val="00CC20C9"/>
    <w:rsid w:val="00CC51FD"/>
    <w:rsid w:val="00CC579C"/>
    <w:rsid w:val="00CC5FC2"/>
    <w:rsid w:val="00CC6122"/>
    <w:rsid w:val="00CD10B3"/>
    <w:rsid w:val="00CD11F2"/>
    <w:rsid w:val="00CD3089"/>
    <w:rsid w:val="00CD447C"/>
    <w:rsid w:val="00CD4533"/>
    <w:rsid w:val="00CD4E91"/>
    <w:rsid w:val="00CE017A"/>
    <w:rsid w:val="00CE1EE2"/>
    <w:rsid w:val="00CE5320"/>
    <w:rsid w:val="00CE76FA"/>
    <w:rsid w:val="00CF211A"/>
    <w:rsid w:val="00CF3CBE"/>
    <w:rsid w:val="00CF426C"/>
    <w:rsid w:val="00CF54D5"/>
    <w:rsid w:val="00D010AF"/>
    <w:rsid w:val="00D018F6"/>
    <w:rsid w:val="00D02B1B"/>
    <w:rsid w:val="00D037FC"/>
    <w:rsid w:val="00D039D2"/>
    <w:rsid w:val="00D045E2"/>
    <w:rsid w:val="00D04BBB"/>
    <w:rsid w:val="00D04DED"/>
    <w:rsid w:val="00D06ACB"/>
    <w:rsid w:val="00D07D22"/>
    <w:rsid w:val="00D1257E"/>
    <w:rsid w:val="00D1327B"/>
    <w:rsid w:val="00D13B8B"/>
    <w:rsid w:val="00D15491"/>
    <w:rsid w:val="00D21A0F"/>
    <w:rsid w:val="00D22603"/>
    <w:rsid w:val="00D23FAD"/>
    <w:rsid w:val="00D26D33"/>
    <w:rsid w:val="00D30226"/>
    <w:rsid w:val="00D314AF"/>
    <w:rsid w:val="00D31571"/>
    <w:rsid w:val="00D324CA"/>
    <w:rsid w:val="00D32B42"/>
    <w:rsid w:val="00D3400D"/>
    <w:rsid w:val="00D34BBB"/>
    <w:rsid w:val="00D3709B"/>
    <w:rsid w:val="00D40C1D"/>
    <w:rsid w:val="00D425C8"/>
    <w:rsid w:val="00D42EB2"/>
    <w:rsid w:val="00D45172"/>
    <w:rsid w:val="00D45D28"/>
    <w:rsid w:val="00D466DA"/>
    <w:rsid w:val="00D46D9C"/>
    <w:rsid w:val="00D47245"/>
    <w:rsid w:val="00D509D0"/>
    <w:rsid w:val="00D515EE"/>
    <w:rsid w:val="00D533DF"/>
    <w:rsid w:val="00D53D8A"/>
    <w:rsid w:val="00D54F44"/>
    <w:rsid w:val="00D55BB0"/>
    <w:rsid w:val="00D56A0F"/>
    <w:rsid w:val="00D60018"/>
    <w:rsid w:val="00D60821"/>
    <w:rsid w:val="00D6198E"/>
    <w:rsid w:val="00D62F73"/>
    <w:rsid w:val="00D631AA"/>
    <w:rsid w:val="00D6628C"/>
    <w:rsid w:val="00D663A3"/>
    <w:rsid w:val="00D712D4"/>
    <w:rsid w:val="00D71C30"/>
    <w:rsid w:val="00D71CE7"/>
    <w:rsid w:val="00D731B6"/>
    <w:rsid w:val="00D734A3"/>
    <w:rsid w:val="00D73B4C"/>
    <w:rsid w:val="00D76886"/>
    <w:rsid w:val="00D77D7C"/>
    <w:rsid w:val="00D82175"/>
    <w:rsid w:val="00D834C0"/>
    <w:rsid w:val="00D87D06"/>
    <w:rsid w:val="00D90664"/>
    <w:rsid w:val="00D90961"/>
    <w:rsid w:val="00D90D8C"/>
    <w:rsid w:val="00D91614"/>
    <w:rsid w:val="00D92283"/>
    <w:rsid w:val="00D929A0"/>
    <w:rsid w:val="00D92EE8"/>
    <w:rsid w:val="00D935A6"/>
    <w:rsid w:val="00D94417"/>
    <w:rsid w:val="00D94623"/>
    <w:rsid w:val="00D9655E"/>
    <w:rsid w:val="00DA77A6"/>
    <w:rsid w:val="00DB300C"/>
    <w:rsid w:val="00DB41B1"/>
    <w:rsid w:val="00DB4220"/>
    <w:rsid w:val="00DB5266"/>
    <w:rsid w:val="00DB6A17"/>
    <w:rsid w:val="00DC4EAD"/>
    <w:rsid w:val="00DC5004"/>
    <w:rsid w:val="00DC5222"/>
    <w:rsid w:val="00DC5A6D"/>
    <w:rsid w:val="00DC75B2"/>
    <w:rsid w:val="00DD012A"/>
    <w:rsid w:val="00DD33B6"/>
    <w:rsid w:val="00DD4129"/>
    <w:rsid w:val="00DD539B"/>
    <w:rsid w:val="00DD5C31"/>
    <w:rsid w:val="00DD6170"/>
    <w:rsid w:val="00DD6363"/>
    <w:rsid w:val="00DD6523"/>
    <w:rsid w:val="00DD6B1B"/>
    <w:rsid w:val="00DD6EE1"/>
    <w:rsid w:val="00DE0977"/>
    <w:rsid w:val="00DE2963"/>
    <w:rsid w:val="00DE3352"/>
    <w:rsid w:val="00DE345D"/>
    <w:rsid w:val="00DE3569"/>
    <w:rsid w:val="00DE3A70"/>
    <w:rsid w:val="00DF1C75"/>
    <w:rsid w:val="00DF304B"/>
    <w:rsid w:val="00DF3854"/>
    <w:rsid w:val="00DF4D03"/>
    <w:rsid w:val="00DF4E9F"/>
    <w:rsid w:val="00DF72D0"/>
    <w:rsid w:val="00DF7305"/>
    <w:rsid w:val="00E0036A"/>
    <w:rsid w:val="00E00801"/>
    <w:rsid w:val="00E01699"/>
    <w:rsid w:val="00E02144"/>
    <w:rsid w:val="00E0317F"/>
    <w:rsid w:val="00E03ED5"/>
    <w:rsid w:val="00E051FE"/>
    <w:rsid w:val="00E05578"/>
    <w:rsid w:val="00E11663"/>
    <w:rsid w:val="00E1226F"/>
    <w:rsid w:val="00E14B00"/>
    <w:rsid w:val="00E162C1"/>
    <w:rsid w:val="00E2050E"/>
    <w:rsid w:val="00E21415"/>
    <w:rsid w:val="00E214FD"/>
    <w:rsid w:val="00E23823"/>
    <w:rsid w:val="00E24021"/>
    <w:rsid w:val="00E242FA"/>
    <w:rsid w:val="00E26371"/>
    <w:rsid w:val="00E26FAB"/>
    <w:rsid w:val="00E30521"/>
    <w:rsid w:val="00E326F2"/>
    <w:rsid w:val="00E3292E"/>
    <w:rsid w:val="00E37AE0"/>
    <w:rsid w:val="00E41676"/>
    <w:rsid w:val="00E418BA"/>
    <w:rsid w:val="00E43C71"/>
    <w:rsid w:val="00E44ECF"/>
    <w:rsid w:val="00E4638C"/>
    <w:rsid w:val="00E46BE6"/>
    <w:rsid w:val="00E476FD"/>
    <w:rsid w:val="00E47EDB"/>
    <w:rsid w:val="00E52113"/>
    <w:rsid w:val="00E53178"/>
    <w:rsid w:val="00E53D67"/>
    <w:rsid w:val="00E56991"/>
    <w:rsid w:val="00E57894"/>
    <w:rsid w:val="00E61654"/>
    <w:rsid w:val="00E64FF0"/>
    <w:rsid w:val="00E65F2F"/>
    <w:rsid w:val="00E66199"/>
    <w:rsid w:val="00E66B4B"/>
    <w:rsid w:val="00E67EB6"/>
    <w:rsid w:val="00E700DA"/>
    <w:rsid w:val="00E71448"/>
    <w:rsid w:val="00E7447A"/>
    <w:rsid w:val="00E74DBF"/>
    <w:rsid w:val="00E8080E"/>
    <w:rsid w:val="00E817CE"/>
    <w:rsid w:val="00E819E9"/>
    <w:rsid w:val="00E8529A"/>
    <w:rsid w:val="00E86E00"/>
    <w:rsid w:val="00E901A8"/>
    <w:rsid w:val="00E91736"/>
    <w:rsid w:val="00E92722"/>
    <w:rsid w:val="00E92CEC"/>
    <w:rsid w:val="00E95690"/>
    <w:rsid w:val="00E968D9"/>
    <w:rsid w:val="00E97091"/>
    <w:rsid w:val="00E972CC"/>
    <w:rsid w:val="00EA2C5C"/>
    <w:rsid w:val="00EA2DED"/>
    <w:rsid w:val="00EA3C8B"/>
    <w:rsid w:val="00EA4815"/>
    <w:rsid w:val="00EA727B"/>
    <w:rsid w:val="00EB2BFD"/>
    <w:rsid w:val="00EB4D9E"/>
    <w:rsid w:val="00EB4FC6"/>
    <w:rsid w:val="00EB5AAC"/>
    <w:rsid w:val="00EB6E97"/>
    <w:rsid w:val="00EC01E7"/>
    <w:rsid w:val="00EC15EA"/>
    <w:rsid w:val="00EC40D2"/>
    <w:rsid w:val="00EC45CE"/>
    <w:rsid w:val="00EC65E9"/>
    <w:rsid w:val="00EC6CFE"/>
    <w:rsid w:val="00ED1650"/>
    <w:rsid w:val="00ED38EE"/>
    <w:rsid w:val="00ED517B"/>
    <w:rsid w:val="00ED7FBD"/>
    <w:rsid w:val="00EE3A66"/>
    <w:rsid w:val="00EE4886"/>
    <w:rsid w:val="00EE4A20"/>
    <w:rsid w:val="00EE4C8A"/>
    <w:rsid w:val="00EE5210"/>
    <w:rsid w:val="00EF4613"/>
    <w:rsid w:val="00EF4DEB"/>
    <w:rsid w:val="00EF4F2D"/>
    <w:rsid w:val="00EF516D"/>
    <w:rsid w:val="00EF7083"/>
    <w:rsid w:val="00EF7DE7"/>
    <w:rsid w:val="00F00582"/>
    <w:rsid w:val="00F007D6"/>
    <w:rsid w:val="00F0107A"/>
    <w:rsid w:val="00F019B4"/>
    <w:rsid w:val="00F0378A"/>
    <w:rsid w:val="00F0402D"/>
    <w:rsid w:val="00F0469A"/>
    <w:rsid w:val="00F05C94"/>
    <w:rsid w:val="00F06EA2"/>
    <w:rsid w:val="00F07060"/>
    <w:rsid w:val="00F07936"/>
    <w:rsid w:val="00F111D4"/>
    <w:rsid w:val="00F11C75"/>
    <w:rsid w:val="00F12826"/>
    <w:rsid w:val="00F14636"/>
    <w:rsid w:val="00F14DDF"/>
    <w:rsid w:val="00F1561A"/>
    <w:rsid w:val="00F15F3B"/>
    <w:rsid w:val="00F236B1"/>
    <w:rsid w:val="00F3532E"/>
    <w:rsid w:val="00F356D0"/>
    <w:rsid w:val="00F35841"/>
    <w:rsid w:val="00F36563"/>
    <w:rsid w:val="00F404C2"/>
    <w:rsid w:val="00F41A36"/>
    <w:rsid w:val="00F423C0"/>
    <w:rsid w:val="00F42965"/>
    <w:rsid w:val="00F440D3"/>
    <w:rsid w:val="00F4704E"/>
    <w:rsid w:val="00F47AAA"/>
    <w:rsid w:val="00F47D95"/>
    <w:rsid w:val="00F534E4"/>
    <w:rsid w:val="00F5747D"/>
    <w:rsid w:val="00F60572"/>
    <w:rsid w:val="00F60926"/>
    <w:rsid w:val="00F60E91"/>
    <w:rsid w:val="00F612AC"/>
    <w:rsid w:val="00F64406"/>
    <w:rsid w:val="00F67C3F"/>
    <w:rsid w:val="00F707C1"/>
    <w:rsid w:val="00F71CA6"/>
    <w:rsid w:val="00F72072"/>
    <w:rsid w:val="00F740E1"/>
    <w:rsid w:val="00F74A4A"/>
    <w:rsid w:val="00F75076"/>
    <w:rsid w:val="00F762E4"/>
    <w:rsid w:val="00F76DF3"/>
    <w:rsid w:val="00F77893"/>
    <w:rsid w:val="00F77ED7"/>
    <w:rsid w:val="00F82819"/>
    <w:rsid w:val="00F8340D"/>
    <w:rsid w:val="00F83487"/>
    <w:rsid w:val="00F83645"/>
    <w:rsid w:val="00F90007"/>
    <w:rsid w:val="00F91E69"/>
    <w:rsid w:val="00F91FB6"/>
    <w:rsid w:val="00F92EC8"/>
    <w:rsid w:val="00F93CF0"/>
    <w:rsid w:val="00F94E52"/>
    <w:rsid w:val="00FA258C"/>
    <w:rsid w:val="00FA2E3E"/>
    <w:rsid w:val="00FA371F"/>
    <w:rsid w:val="00FA45D0"/>
    <w:rsid w:val="00FA5A79"/>
    <w:rsid w:val="00FA6A83"/>
    <w:rsid w:val="00FA6A90"/>
    <w:rsid w:val="00FB09B7"/>
    <w:rsid w:val="00FB1416"/>
    <w:rsid w:val="00FB20EA"/>
    <w:rsid w:val="00FB216C"/>
    <w:rsid w:val="00FB423F"/>
    <w:rsid w:val="00FC0485"/>
    <w:rsid w:val="00FC3E4B"/>
    <w:rsid w:val="00FC4C90"/>
    <w:rsid w:val="00FC7F9D"/>
    <w:rsid w:val="00FD5F89"/>
    <w:rsid w:val="00FE08CC"/>
    <w:rsid w:val="00FE1361"/>
    <w:rsid w:val="00FE155F"/>
    <w:rsid w:val="00FE3011"/>
    <w:rsid w:val="00FE4F17"/>
    <w:rsid w:val="00FE590E"/>
    <w:rsid w:val="00FE72E6"/>
    <w:rsid w:val="00FE737C"/>
    <w:rsid w:val="00FE75BA"/>
    <w:rsid w:val="00FF0052"/>
    <w:rsid w:val="00FF01AC"/>
    <w:rsid w:val="00FF44F2"/>
    <w:rsid w:val="00FF5996"/>
    <w:rsid w:val="00FF73C0"/>
    <w:rsid w:val="00FF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B9A0"/>
  <w15:chartTrackingRefBased/>
  <w15:docId w15:val="{A968801D-91FE-4EF5-AC49-CFE06099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F382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F3828"/>
    <w:rPr>
      <w:sz w:val="20"/>
      <w:szCs w:val="20"/>
    </w:rPr>
  </w:style>
  <w:style w:type="character" w:styleId="Refdenotaalpie">
    <w:name w:val="footnote reference"/>
    <w:basedOn w:val="Fuentedeprrafopredeter"/>
    <w:uiPriority w:val="99"/>
    <w:semiHidden/>
    <w:unhideWhenUsed/>
    <w:rsid w:val="003F3828"/>
    <w:rPr>
      <w:vertAlign w:val="superscript"/>
    </w:rPr>
  </w:style>
  <w:style w:type="character" w:styleId="Textodelmarcadordeposicin">
    <w:name w:val="Placeholder Text"/>
    <w:basedOn w:val="Fuentedeprrafopredeter"/>
    <w:uiPriority w:val="99"/>
    <w:semiHidden/>
    <w:rsid w:val="00352F17"/>
    <w:rPr>
      <w:color w:val="808080"/>
    </w:rPr>
  </w:style>
  <w:style w:type="character" w:styleId="Refdecomentario">
    <w:name w:val="annotation reference"/>
    <w:basedOn w:val="Fuentedeprrafopredeter"/>
    <w:uiPriority w:val="99"/>
    <w:semiHidden/>
    <w:unhideWhenUsed/>
    <w:rsid w:val="00B83626"/>
    <w:rPr>
      <w:sz w:val="16"/>
      <w:szCs w:val="16"/>
    </w:rPr>
  </w:style>
  <w:style w:type="paragraph" w:styleId="Textocomentario">
    <w:name w:val="annotation text"/>
    <w:basedOn w:val="Normal"/>
    <w:link w:val="TextocomentarioCar"/>
    <w:uiPriority w:val="99"/>
    <w:semiHidden/>
    <w:unhideWhenUsed/>
    <w:rsid w:val="00B8362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83626"/>
    <w:rPr>
      <w:sz w:val="20"/>
      <w:szCs w:val="20"/>
    </w:rPr>
  </w:style>
  <w:style w:type="paragraph" w:styleId="Asuntodelcomentario">
    <w:name w:val="annotation subject"/>
    <w:basedOn w:val="Textocomentario"/>
    <w:next w:val="Textocomentario"/>
    <w:link w:val="AsuntodelcomentarioCar"/>
    <w:uiPriority w:val="99"/>
    <w:semiHidden/>
    <w:unhideWhenUsed/>
    <w:rsid w:val="00B83626"/>
    <w:rPr>
      <w:b/>
      <w:bCs/>
    </w:rPr>
  </w:style>
  <w:style w:type="character" w:customStyle="1" w:styleId="AsuntodelcomentarioCar">
    <w:name w:val="Asunto del comentario Car"/>
    <w:basedOn w:val="TextocomentarioCar"/>
    <w:link w:val="Asuntodelcomentario"/>
    <w:uiPriority w:val="99"/>
    <w:semiHidden/>
    <w:rsid w:val="00B83626"/>
    <w:rPr>
      <w:b/>
      <w:bCs/>
      <w:sz w:val="20"/>
      <w:szCs w:val="20"/>
    </w:rPr>
  </w:style>
  <w:style w:type="table" w:styleId="Tablaconcuadrcula2-nfasis1">
    <w:name w:val="Grid Table 2 Accent 1"/>
    <w:basedOn w:val="Tablanormal"/>
    <w:uiPriority w:val="47"/>
    <w:rsid w:val="00913C75"/>
    <w:pPr>
      <w:spacing w:after="0" w:line="240" w:lineRule="auto"/>
    </w:pPr>
    <w:rPr>
      <w:lang w:val="es-CL"/>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cabezado">
    <w:name w:val="header"/>
    <w:basedOn w:val="Normal"/>
    <w:link w:val="EncabezadoCar"/>
    <w:uiPriority w:val="99"/>
    <w:unhideWhenUsed/>
    <w:rsid w:val="00913C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3C75"/>
  </w:style>
  <w:style w:type="paragraph" w:styleId="Piedepgina">
    <w:name w:val="footer"/>
    <w:basedOn w:val="Normal"/>
    <w:link w:val="PiedepginaCar"/>
    <w:uiPriority w:val="99"/>
    <w:unhideWhenUsed/>
    <w:rsid w:val="00913C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3C75"/>
  </w:style>
  <w:style w:type="table" w:styleId="Tablaconcuadrcula4-nfasis5">
    <w:name w:val="Grid Table 4 Accent 5"/>
    <w:basedOn w:val="Tablanormal"/>
    <w:uiPriority w:val="49"/>
    <w:rsid w:val="00211ED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1clara-nfasis4">
    <w:name w:val="Grid Table 1 Light Accent 4"/>
    <w:basedOn w:val="Tablanormal"/>
    <w:uiPriority w:val="46"/>
    <w:rsid w:val="00211ED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211ED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nfasisintenso">
    <w:name w:val="Intense Emphasis"/>
    <w:basedOn w:val="Fuentedeprrafopredeter"/>
    <w:uiPriority w:val="21"/>
    <w:qFormat/>
    <w:rsid w:val="00211ED5"/>
    <w:rPr>
      <w:i/>
      <w:iCs/>
      <w:color w:val="4472C4" w:themeColor="accent1"/>
    </w:rPr>
  </w:style>
  <w:style w:type="table" w:styleId="Tablaconcuadrcula1clara">
    <w:name w:val="Grid Table 1 Light"/>
    <w:basedOn w:val="Tablanormal"/>
    <w:uiPriority w:val="46"/>
    <w:rsid w:val="00211E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lista6concolores">
    <w:name w:val="List Table 6 Colorful"/>
    <w:basedOn w:val="Tablanormal"/>
    <w:uiPriority w:val="51"/>
    <w:rsid w:val="001573A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5">
    <w:name w:val="List Table 6 Colorful Accent 5"/>
    <w:basedOn w:val="Tablanormal"/>
    <w:uiPriority w:val="51"/>
    <w:rsid w:val="001573A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3">
    <w:name w:val="List Table 6 Colorful Accent 3"/>
    <w:basedOn w:val="Tablanormal"/>
    <w:uiPriority w:val="51"/>
    <w:rsid w:val="001573A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1">
    <w:name w:val="Grid Table 6 Colorful Accent 1"/>
    <w:basedOn w:val="Tablanormal"/>
    <w:uiPriority w:val="51"/>
    <w:rsid w:val="00EC40D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normal1">
    <w:name w:val="Plain Table 1"/>
    <w:basedOn w:val="Tablanormal"/>
    <w:uiPriority w:val="41"/>
    <w:rsid w:val="009337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2-nfasis3">
    <w:name w:val="Grid Table 2 Accent 3"/>
    <w:basedOn w:val="Tablanormal"/>
    <w:uiPriority w:val="47"/>
    <w:rsid w:val="0098700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clara">
    <w:name w:val="Grid Table Light"/>
    <w:basedOn w:val="Tablanormal"/>
    <w:uiPriority w:val="40"/>
    <w:rsid w:val="001D1E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FE72E6"/>
    <w:pPr>
      <w:ind w:left="720"/>
      <w:contextualSpacing/>
    </w:pPr>
  </w:style>
  <w:style w:type="paragraph" w:styleId="NormalWeb">
    <w:name w:val="Normal (Web)"/>
    <w:basedOn w:val="Normal"/>
    <w:uiPriority w:val="99"/>
    <w:unhideWhenUsed/>
    <w:rsid w:val="00A16106"/>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Textonotaalfinal">
    <w:name w:val="endnote text"/>
    <w:basedOn w:val="Normal"/>
    <w:link w:val="TextonotaalfinalCar"/>
    <w:uiPriority w:val="99"/>
    <w:semiHidden/>
    <w:unhideWhenUsed/>
    <w:rsid w:val="003C460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C4605"/>
    <w:rPr>
      <w:noProof/>
      <w:sz w:val="20"/>
      <w:szCs w:val="20"/>
    </w:rPr>
  </w:style>
  <w:style w:type="character" w:styleId="Refdenotaalfinal">
    <w:name w:val="endnote reference"/>
    <w:basedOn w:val="Fuentedeprrafopredeter"/>
    <w:uiPriority w:val="99"/>
    <w:semiHidden/>
    <w:unhideWhenUsed/>
    <w:rsid w:val="003C4605"/>
    <w:rPr>
      <w:vertAlign w:val="superscript"/>
    </w:rPr>
  </w:style>
  <w:style w:type="table" w:styleId="Tablaconcuadrcula">
    <w:name w:val="Table Grid"/>
    <w:basedOn w:val="Tablanormal"/>
    <w:uiPriority w:val="39"/>
    <w:rsid w:val="001D0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27114">
      <w:bodyDiv w:val="1"/>
      <w:marLeft w:val="0"/>
      <w:marRight w:val="0"/>
      <w:marTop w:val="0"/>
      <w:marBottom w:val="0"/>
      <w:divBdr>
        <w:top w:val="none" w:sz="0" w:space="0" w:color="auto"/>
        <w:left w:val="none" w:sz="0" w:space="0" w:color="auto"/>
        <w:bottom w:val="none" w:sz="0" w:space="0" w:color="auto"/>
        <w:right w:val="none" w:sz="0" w:space="0" w:color="auto"/>
      </w:divBdr>
      <w:divsChild>
        <w:div w:id="1000884963">
          <w:marLeft w:val="0"/>
          <w:marRight w:val="0"/>
          <w:marTop w:val="0"/>
          <w:marBottom w:val="0"/>
          <w:divBdr>
            <w:top w:val="none" w:sz="0" w:space="0" w:color="auto"/>
            <w:left w:val="none" w:sz="0" w:space="0" w:color="auto"/>
            <w:bottom w:val="none" w:sz="0" w:space="0" w:color="auto"/>
            <w:right w:val="none" w:sz="0" w:space="0" w:color="auto"/>
          </w:divBdr>
        </w:div>
        <w:div w:id="1363700503">
          <w:marLeft w:val="0"/>
          <w:marRight w:val="0"/>
          <w:marTop w:val="0"/>
          <w:marBottom w:val="0"/>
          <w:divBdr>
            <w:top w:val="none" w:sz="0" w:space="0" w:color="auto"/>
            <w:left w:val="none" w:sz="0" w:space="0" w:color="auto"/>
            <w:bottom w:val="none" w:sz="0" w:space="0" w:color="auto"/>
            <w:right w:val="none" w:sz="0" w:space="0" w:color="auto"/>
          </w:divBdr>
          <w:divsChild>
            <w:div w:id="1649549101">
              <w:marLeft w:val="0"/>
              <w:marRight w:val="165"/>
              <w:marTop w:val="150"/>
              <w:marBottom w:val="0"/>
              <w:divBdr>
                <w:top w:val="none" w:sz="0" w:space="0" w:color="auto"/>
                <w:left w:val="none" w:sz="0" w:space="0" w:color="auto"/>
                <w:bottom w:val="none" w:sz="0" w:space="0" w:color="auto"/>
                <w:right w:val="none" w:sz="0" w:space="0" w:color="auto"/>
              </w:divBdr>
              <w:divsChild>
                <w:div w:id="797723302">
                  <w:marLeft w:val="0"/>
                  <w:marRight w:val="0"/>
                  <w:marTop w:val="0"/>
                  <w:marBottom w:val="0"/>
                  <w:divBdr>
                    <w:top w:val="none" w:sz="0" w:space="0" w:color="auto"/>
                    <w:left w:val="none" w:sz="0" w:space="0" w:color="auto"/>
                    <w:bottom w:val="none" w:sz="0" w:space="0" w:color="auto"/>
                    <w:right w:val="none" w:sz="0" w:space="0" w:color="auto"/>
                  </w:divBdr>
                  <w:divsChild>
                    <w:div w:id="15814010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8716">
      <w:bodyDiv w:val="1"/>
      <w:marLeft w:val="0"/>
      <w:marRight w:val="0"/>
      <w:marTop w:val="0"/>
      <w:marBottom w:val="0"/>
      <w:divBdr>
        <w:top w:val="none" w:sz="0" w:space="0" w:color="auto"/>
        <w:left w:val="none" w:sz="0" w:space="0" w:color="auto"/>
        <w:bottom w:val="none" w:sz="0" w:space="0" w:color="auto"/>
        <w:right w:val="none" w:sz="0" w:space="0" w:color="auto"/>
      </w:divBdr>
      <w:divsChild>
        <w:div w:id="179781697">
          <w:marLeft w:val="0"/>
          <w:marRight w:val="0"/>
          <w:marTop w:val="0"/>
          <w:marBottom w:val="0"/>
          <w:divBdr>
            <w:top w:val="none" w:sz="0" w:space="0" w:color="auto"/>
            <w:left w:val="none" w:sz="0" w:space="0" w:color="auto"/>
            <w:bottom w:val="none" w:sz="0" w:space="0" w:color="auto"/>
            <w:right w:val="none" w:sz="0" w:space="0" w:color="auto"/>
          </w:divBdr>
        </w:div>
        <w:div w:id="2072927065">
          <w:marLeft w:val="0"/>
          <w:marRight w:val="0"/>
          <w:marTop w:val="0"/>
          <w:marBottom w:val="0"/>
          <w:divBdr>
            <w:top w:val="none" w:sz="0" w:space="0" w:color="auto"/>
            <w:left w:val="none" w:sz="0" w:space="0" w:color="auto"/>
            <w:bottom w:val="none" w:sz="0" w:space="0" w:color="auto"/>
            <w:right w:val="none" w:sz="0" w:space="0" w:color="auto"/>
          </w:divBdr>
          <w:divsChild>
            <w:div w:id="1130250206">
              <w:marLeft w:val="0"/>
              <w:marRight w:val="165"/>
              <w:marTop w:val="150"/>
              <w:marBottom w:val="0"/>
              <w:divBdr>
                <w:top w:val="none" w:sz="0" w:space="0" w:color="auto"/>
                <w:left w:val="none" w:sz="0" w:space="0" w:color="auto"/>
                <w:bottom w:val="none" w:sz="0" w:space="0" w:color="auto"/>
                <w:right w:val="none" w:sz="0" w:space="0" w:color="auto"/>
              </w:divBdr>
              <w:divsChild>
                <w:div w:id="1739136074">
                  <w:marLeft w:val="0"/>
                  <w:marRight w:val="0"/>
                  <w:marTop w:val="0"/>
                  <w:marBottom w:val="0"/>
                  <w:divBdr>
                    <w:top w:val="none" w:sz="0" w:space="0" w:color="auto"/>
                    <w:left w:val="none" w:sz="0" w:space="0" w:color="auto"/>
                    <w:bottom w:val="none" w:sz="0" w:space="0" w:color="auto"/>
                    <w:right w:val="none" w:sz="0" w:space="0" w:color="auto"/>
                  </w:divBdr>
                  <w:divsChild>
                    <w:div w:id="2245310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05294">
      <w:bodyDiv w:val="1"/>
      <w:marLeft w:val="0"/>
      <w:marRight w:val="0"/>
      <w:marTop w:val="0"/>
      <w:marBottom w:val="0"/>
      <w:divBdr>
        <w:top w:val="none" w:sz="0" w:space="0" w:color="auto"/>
        <w:left w:val="none" w:sz="0" w:space="0" w:color="auto"/>
        <w:bottom w:val="none" w:sz="0" w:space="0" w:color="auto"/>
        <w:right w:val="none" w:sz="0" w:space="0" w:color="auto"/>
      </w:divBdr>
    </w:div>
    <w:div w:id="298145516">
      <w:bodyDiv w:val="1"/>
      <w:marLeft w:val="0"/>
      <w:marRight w:val="0"/>
      <w:marTop w:val="0"/>
      <w:marBottom w:val="0"/>
      <w:divBdr>
        <w:top w:val="none" w:sz="0" w:space="0" w:color="auto"/>
        <w:left w:val="none" w:sz="0" w:space="0" w:color="auto"/>
        <w:bottom w:val="none" w:sz="0" w:space="0" w:color="auto"/>
        <w:right w:val="none" w:sz="0" w:space="0" w:color="auto"/>
      </w:divBdr>
    </w:div>
    <w:div w:id="367462025">
      <w:bodyDiv w:val="1"/>
      <w:marLeft w:val="0"/>
      <w:marRight w:val="0"/>
      <w:marTop w:val="0"/>
      <w:marBottom w:val="0"/>
      <w:divBdr>
        <w:top w:val="none" w:sz="0" w:space="0" w:color="auto"/>
        <w:left w:val="none" w:sz="0" w:space="0" w:color="auto"/>
        <w:bottom w:val="none" w:sz="0" w:space="0" w:color="auto"/>
        <w:right w:val="none" w:sz="0" w:space="0" w:color="auto"/>
      </w:divBdr>
    </w:div>
    <w:div w:id="390227704">
      <w:bodyDiv w:val="1"/>
      <w:marLeft w:val="0"/>
      <w:marRight w:val="0"/>
      <w:marTop w:val="0"/>
      <w:marBottom w:val="0"/>
      <w:divBdr>
        <w:top w:val="none" w:sz="0" w:space="0" w:color="auto"/>
        <w:left w:val="none" w:sz="0" w:space="0" w:color="auto"/>
        <w:bottom w:val="none" w:sz="0" w:space="0" w:color="auto"/>
        <w:right w:val="none" w:sz="0" w:space="0" w:color="auto"/>
      </w:divBdr>
    </w:div>
    <w:div w:id="419645283">
      <w:bodyDiv w:val="1"/>
      <w:marLeft w:val="0"/>
      <w:marRight w:val="0"/>
      <w:marTop w:val="0"/>
      <w:marBottom w:val="0"/>
      <w:divBdr>
        <w:top w:val="none" w:sz="0" w:space="0" w:color="auto"/>
        <w:left w:val="none" w:sz="0" w:space="0" w:color="auto"/>
        <w:bottom w:val="none" w:sz="0" w:space="0" w:color="auto"/>
        <w:right w:val="none" w:sz="0" w:space="0" w:color="auto"/>
      </w:divBdr>
    </w:div>
    <w:div w:id="427389847">
      <w:bodyDiv w:val="1"/>
      <w:marLeft w:val="0"/>
      <w:marRight w:val="0"/>
      <w:marTop w:val="0"/>
      <w:marBottom w:val="0"/>
      <w:divBdr>
        <w:top w:val="none" w:sz="0" w:space="0" w:color="auto"/>
        <w:left w:val="none" w:sz="0" w:space="0" w:color="auto"/>
        <w:bottom w:val="none" w:sz="0" w:space="0" w:color="auto"/>
        <w:right w:val="none" w:sz="0" w:space="0" w:color="auto"/>
      </w:divBdr>
    </w:div>
    <w:div w:id="435177454">
      <w:bodyDiv w:val="1"/>
      <w:marLeft w:val="0"/>
      <w:marRight w:val="0"/>
      <w:marTop w:val="0"/>
      <w:marBottom w:val="0"/>
      <w:divBdr>
        <w:top w:val="none" w:sz="0" w:space="0" w:color="auto"/>
        <w:left w:val="none" w:sz="0" w:space="0" w:color="auto"/>
        <w:bottom w:val="none" w:sz="0" w:space="0" w:color="auto"/>
        <w:right w:val="none" w:sz="0" w:space="0" w:color="auto"/>
      </w:divBdr>
      <w:divsChild>
        <w:div w:id="1794712302">
          <w:marLeft w:val="0"/>
          <w:marRight w:val="0"/>
          <w:marTop w:val="0"/>
          <w:marBottom w:val="0"/>
          <w:divBdr>
            <w:top w:val="none" w:sz="0" w:space="0" w:color="auto"/>
            <w:left w:val="none" w:sz="0" w:space="0" w:color="auto"/>
            <w:bottom w:val="none" w:sz="0" w:space="0" w:color="auto"/>
            <w:right w:val="none" w:sz="0" w:space="0" w:color="auto"/>
          </w:divBdr>
          <w:divsChild>
            <w:div w:id="553466076">
              <w:marLeft w:val="0"/>
              <w:marRight w:val="0"/>
              <w:marTop w:val="0"/>
              <w:marBottom w:val="0"/>
              <w:divBdr>
                <w:top w:val="none" w:sz="0" w:space="0" w:color="auto"/>
                <w:left w:val="none" w:sz="0" w:space="0" w:color="auto"/>
                <w:bottom w:val="none" w:sz="0" w:space="0" w:color="auto"/>
                <w:right w:val="none" w:sz="0" w:space="0" w:color="auto"/>
              </w:divBdr>
            </w:div>
          </w:divsChild>
        </w:div>
        <w:div w:id="729306549">
          <w:marLeft w:val="0"/>
          <w:marRight w:val="0"/>
          <w:marTop w:val="0"/>
          <w:marBottom w:val="0"/>
          <w:divBdr>
            <w:top w:val="none" w:sz="0" w:space="0" w:color="auto"/>
            <w:left w:val="none" w:sz="0" w:space="0" w:color="auto"/>
            <w:bottom w:val="none" w:sz="0" w:space="0" w:color="auto"/>
            <w:right w:val="none" w:sz="0" w:space="0" w:color="auto"/>
          </w:divBdr>
          <w:divsChild>
            <w:div w:id="576676348">
              <w:marLeft w:val="0"/>
              <w:marRight w:val="0"/>
              <w:marTop w:val="0"/>
              <w:marBottom w:val="0"/>
              <w:divBdr>
                <w:top w:val="none" w:sz="0" w:space="0" w:color="auto"/>
                <w:left w:val="none" w:sz="0" w:space="0" w:color="auto"/>
                <w:bottom w:val="none" w:sz="0" w:space="0" w:color="auto"/>
                <w:right w:val="none" w:sz="0" w:space="0" w:color="auto"/>
              </w:divBdr>
              <w:divsChild>
                <w:div w:id="821583896">
                  <w:marLeft w:val="0"/>
                  <w:marRight w:val="0"/>
                  <w:marTop w:val="0"/>
                  <w:marBottom w:val="0"/>
                  <w:divBdr>
                    <w:top w:val="none" w:sz="0" w:space="0" w:color="auto"/>
                    <w:left w:val="none" w:sz="0" w:space="0" w:color="auto"/>
                    <w:bottom w:val="none" w:sz="0" w:space="0" w:color="auto"/>
                    <w:right w:val="none" w:sz="0" w:space="0" w:color="auto"/>
                  </w:divBdr>
                  <w:divsChild>
                    <w:div w:id="4220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705635">
      <w:bodyDiv w:val="1"/>
      <w:marLeft w:val="0"/>
      <w:marRight w:val="0"/>
      <w:marTop w:val="0"/>
      <w:marBottom w:val="0"/>
      <w:divBdr>
        <w:top w:val="none" w:sz="0" w:space="0" w:color="auto"/>
        <w:left w:val="none" w:sz="0" w:space="0" w:color="auto"/>
        <w:bottom w:val="none" w:sz="0" w:space="0" w:color="auto"/>
        <w:right w:val="none" w:sz="0" w:space="0" w:color="auto"/>
      </w:divBdr>
      <w:divsChild>
        <w:div w:id="1294212493">
          <w:marLeft w:val="0"/>
          <w:marRight w:val="0"/>
          <w:marTop w:val="0"/>
          <w:marBottom w:val="0"/>
          <w:divBdr>
            <w:top w:val="none" w:sz="0" w:space="0" w:color="auto"/>
            <w:left w:val="none" w:sz="0" w:space="0" w:color="auto"/>
            <w:bottom w:val="none" w:sz="0" w:space="0" w:color="auto"/>
            <w:right w:val="none" w:sz="0" w:space="0" w:color="auto"/>
          </w:divBdr>
        </w:div>
        <w:div w:id="827936077">
          <w:marLeft w:val="0"/>
          <w:marRight w:val="0"/>
          <w:marTop w:val="0"/>
          <w:marBottom w:val="0"/>
          <w:divBdr>
            <w:top w:val="none" w:sz="0" w:space="0" w:color="auto"/>
            <w:left w:val="none" w:sz="0" w:space="0" w:color="auto"/>
            <w:bottom w:val="none" w:sz="0" w:space="0" w:color="auto"/>
            <w:right w:val="none" w:sz="0" w:space="0" w:color="auto"/>
          </w:divBdr>
          <w:divsChild>
            <w:div w:id="969899725">
              <w:marLeft w:val="0"/>
              <w:marRight w:val="165"/>
              <w:marTop w:val="150"/>
              <w:marBottom w:val="0"/>
              <w:divBdr>
                <w:top w:val="none" w:sz="0" w:space="0" w:color="auto"/>
                <w:left w:val="none" w:sz="0" w:space="0" w:color="auto"/>
                <w:bottom w:val="none" w:sz="0" w:space="0" w:color="auto"/>
                <w:right w:val="none" w:sz="0" w:space="0" w:color="auto"/>
              </w:divBdr>
              <w:divsChild>
                <w:div w:id="196968375">
                  <w:marLeft w:val="0"/>
                  <w:marRight w:val="0"/>
                  <w:marTop w:val="0"/>
                  <w:marBottom w:val="0"/>
                  <w:divBdr>
                    <w:top w:val="none" w:sz="0" w:space="0" w:color="auto"/>
                    <w:left w:val="none" w:sz="0" w:space="0" w:color="auto"/>
                    <w:bottom w:val="none" w:sz="0" w:space="0" w:color="auto"/>
                    <w:right w:val="none" w:sz="0" w:space="0" w:color="auto"/>
                  </w:divBdr>
                  <w:divsChild>
                    <w:div w:id="7221025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1489">
      <w:bodyDiv w:val="1"/>
      <w:marLeft w:val="0"/>
      <w:marRight w:val="0"/>
      <w:marTop w:val="0"/>
      <w:marBottom w:val="0"/>
      <w:divBdr>
        <w:top w:val="none" w:sz="0" w:space="0" w:color="auto"/>
        <w:left w:val="none" w:sz="0" w:space="0" w:color="auto"/>
        <w:bottom w:val="none" w:sz="0" w:space="0" w:color="auto"/>
        <w:right w:val="none" w:sz="0" w:space="0" w:color="auto"/>
      </w:divBdr>
    </w:div>
    <w:div w:id="457987855">
      <w:bodyDiv w:val="1"/>
      <w:marLeft w:val="0"/>
      <w:marRight w:val="0"/>
      <w:marTop w:val="0"/>
      <w:marBottom w:val="0"/>
      <w:divBdr>
        <w:top w:val="none" w:sz="0" w:space="0" w:color="auto"/>
        <w:left w:val="none" w:sz="0" w:space="0" w:color="auto"/>
        <w:bottom w:val="none" w:sz="0" w:space="0" w:color="auto"/>
        <w:right w:val="none" w:sz="0" w:space="0" w:color="auto"/>
      </w:divBdr>
    </w:div>
    <w:div w:id="490683726">
      <w:bodyDiv w:val="1"/>
      <w:marLeft w:val="0"/>
      <w:marRight w:val="0"/>
      <w:marTop w:val="0"/>
      <w:marBottom w:val="0"/>
      <w:divBdr>
        <w:top w:val="none" w:sz="0" w:space="0" w:color="auto"/>
        <w:left w:val="none" w:sz="0" w:space="0" w:color="auto"/>
        <w:bottom w:val="none" w:sz="0" w:space="0" w:color="auto"/>
        <w:right w:val="none" w:sz="0" w:space="0" w:color="auto"/>
      </w:divBdr>
    </w:div>
    <w:div w:id="547035658">
      <w:bodyDiv w:val="1"/>
      <w:marLeft w:val="0"/>
      <w:marRight w:val="0"/>
      <w:marTop w:val="0"/>
      <w:marBottom w:val="0"/>
      <w:divBdr>
        <w:top w:val="none" w:sz="0" w:space="0" w:color="auto"/>
        <w:left w:val="none" w:sz="0" w:space="0" w:color="auto"/>
        <w:bottom w:val="none" w:sz="0" w:space="0" w:color="auto"/>
        <w:right w:val="none" w:sz="0" w:space="0" w:color="auto"/>
      </w:divBdr>
      <w:divsChild>
        <w:div w:id="1025710580">
          <w:marLeft w:val="0"/>
          <w:marRight w:val="0"/>
          <w:marTop w:val="0"/>
          <w:marBottom w:val="0"/>
          <w:divBdr>
            <w:top w:val="none" w:sz="0" w:space="0" w:color="auto"/>
            <w:left w:val="none" w:sz="0" w:space="0" w:color="auto"/>
            <w:bottom w:val="none" w:sz="0" w:space="0" w:color="auto"/>
            <w:right w:val="none" w:sz="0" w:space="0" w:color="auto"/>
          </w:divBdr>
        </w:div>
        <w:div w:id="1848665463">
          <w:marLeft w:val="0"/>
          <w:marRight w:val="0"/>
          <w:marTop w:val="0"/>
          <w:marBottom w:val="0"/>
          <w:divBdr>
            <w:top w:val="none" w:sz="0" w:space="0" w:color="auto"/>
            <w:left w:val="none" w:sz="0" w:space="0" w:color="auto"/>
            <w:bottom w:val="none" w:sz="0" w:space="0" w:color="auto"/>
            <w:right w:val="none" w:sz="0" w:space="0" w:color="auto"/>
          </w:divBdr>
          <w:divsChild>
            <w:div w:id="672222513">
              <w:marLeft w:val="0"/>
              <w:marRight w:val="165"/>
              <w:marTop w:val="150"/>
              <w:marBottom w:val="0"/>
              <w:divBdr>
                <w:top w:val="none" w:sz="0" w:space="0" w:color="auto"/>
                <w:left w:val="none" w:sz="0" w:space="0" w:color="auto"/>
                <w:bottom w:val="none" w:sz="0" w:space="0" w:color="auto"/>
                <w:right w:val="none" w:sz="0" w:space="0" w:color="auto"/>
              </w:divBdr>
              <w:divsChild>
                <w:div w:id="1521315412">
                  <w:marLeft w:val="0"/>
                  <w:marRight w:val="0"/>
                  <w:marTop w:val="0"/>
                  <w:marBottom w:val="0"/>
                  <w:divBdr>
                    <w:top w:val="none" w:sz="0" w:space="0" w:color="auto"/>
                    <w:left w:val="none" w:sz="0" w:space="0" w:color="auto"/>
                    <w:bottom w:val="none" w:sz="0" w:space="0" w:color="auto"/>
                    <w:right w:val="none" w:sz="0" w:space="0" w:color="auto"/>
                  </w:divBdr>
                  <w:divsChild>
                    <w:div w:id="12007790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737062">
      <w:bodyDiv w:val="1"/>
      <w:marLeft w:val="0"/>
      <w:marRight w:val="0"/>
      <w:marTop w:val="0"/>
      <w:marBottom w:val="0"/>
      <w:divBdr>
        <w:top w:val="none" w:sz="0" w:space="0" w:color="auto"/>
        <w:left w:val="none" w:sz="0" w:space="0" w:color="auto"/>
        <w:bottom w:val="none" w:sz="0" w:space="0" w:color="auto"/>
        <w:right w:val="none" w:sz="0" w:space="0" w:color="auto"/>
      </w:divBdr>
    </w:div>
    <w:div w:id="611863174">
      <w:bodyDiv w:val="1"/>
      <w:marLeft w:val="0"/>
      <w:marRight w:val="0"/>
      <w:marTop w:val="0"/>
      <w:marBottom w:val="0"/>
      <w:divBdr>
        <w:top w:val="none" w:sz="0" w:space="0" w:color="auto"/>
        <w:left w:val="none" w:sz="0" w:space="0" w:color="auto"/>
        <w:bottom w:val="none" w:sz="0" w:space="0" w:color="auto"/>
        <w:right w:val="none" w:sz="0" w:space="0" w:color="auto"/>
      </w:divBdr>
    </w:div>
    <w:div w:id="616377654">
      <w:bodyDiv w:val="1"/>
      <w:marLeft w:val="0"/>
      <w:marRight w:val="0"/>
      <w:marTop w:val="0"/>
      <w:marBottom w:val="0"/>
      <w:divBdr>
        <w:top w:val="none" w:sz="0" w:space="0" w:color="auto"/>
        <w:left w:val="none" w:sz="0" w:space="0" w:color="auto"/>
        <w:bottom w:val="none" w:sz="0" w:space="0" w:color="auto"/>
        <w:right w:val="none" w:sz="0" w:space="0" w:color="auto"/>
      </w:divBdr>
      <w:divsChild>
        <w:div w:id="587541409">
          <w:marLeft w:val="0"/>
          <w:marRight w:val="0"/>
          <w:marTop w:val="0"/>
          <w:marBottom w:val="0"/>
          <w:divBdr>
            <w:top w:val="none" w:sz="0" w:space="0" w:color="auto"/>
            <w:left w:val="none" w:sz="0" w:space="0" w:color="auto"/>
            <w:bottom w:val="none" w:sz="0" w:space="0" w:color="auto"/>
            <w:right w:val="none" w:sz="0" w:space="0" w:color="auto"/>
          </w:divBdr>
        </w:div>
        <w:div w:id="312031610">
          <w:marLeft w:val="0"/>
          <w:marRight w:val="0"/>
          <w:marTop w:val="0"/>
          <w:marBottom w:val="0"/>
          <w:divBdr>
            <w:top w:val="none" w:sz="0" w:space="0" w:color="auto"/>
            <w:left w:val="none" w:sz="0" w:space="0" w:color="auto"/>
            <w:bottom w:val="none" w:sz="0" w:space="0" w:color="auto"/>
            <w:right w:val="none" w:sz="0" w:space="0" w:color="auto"/>
          </w:divBdr>
          <w:divsChild>
            <w:div w:id="49113012">
              <w:marLeft w:val="0"/>
              <w:marRight w:val="165"/>
              <w:marTop w:val="150"/>
              <w:marBottom w:val="0"/>
              <w:divBdr>
                <w:top w:val="none" w:sz="0" w:space="0" w:color="auto"/>
                <w:left w:val="none" w:sz="0" w:space="0" w:color="auto"/>
                <w:bottom w:val="none" w:sz="0" w:space="0" w:color="auto"/>
                <w:right w:val="none" w:sz="0" w:space="0" w:color="auto"/>
              </w:divBdr>
              <w:divsChild>
                <w:div w:id="169803919">
                  <w:marLeft w:val="0"/>
                  <w:marRight w:val="0"/>
                  <w:marTop w:val="0"/>
                  <w:marBottom w:val="0"/>
                  <w:divBdr>
                    <w:top w:val="none" w:sz="0" w:space="0" w:color="auto"/>
                    <w:left w:val="none" w:sz="0" w:space="0" w:color="auto"/>
                    <w:bottom w:val="none" w:sz="0" w:space="0" w:color="auto"/>
                    <w:right w:val="none" w:sz="0" w:space="0" w:color="auto"/>
                  </w:divBdr>
                  <w:divsChild>
                    <w:div w:id="14888610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68984">
      <w:bodyDiv w:val="1"/>
      <w:marLeft w:val="0"/>
      <w:marRight w:val="0"/>
      <w:marTop w:val="0"/>
      <w:marBottom w:val="0"/>
      <w:divBdr>
        <w:top w:val="none" w:sz="0" w:space="0" w:color="auto"/>
        <w:left w:val="none" w:sz="0" w:space="0" w:color="auto"/>
        <w:bottom w:val="none" w:sz="0" w:space="0" w:color="auto"/>
        <w:right w:val="none" w:sz="0" w:space="0" w:color="auto"/>
      </w:divBdr>
    </w:div>
    <w:div w:id="722216285">
      <w:bodyDiv w:val="1"/>
      <w:marLeft w:val="0"/>
      <w:marRight w:val="0"/>
      <w:marTop w:val="0"/>
      <w:marBottom w:val="0"/>
      <w:divBdr>
        <w:top w:val="none" w:sz="0" w:space="0" w:color="auto"/>
        <w:left w:val="none" w:sz="0" w:space="0" w:color="auto"/>
        <w:bottom w:val="none" w:sz="0" w:space="0" w:color="auto"/>
        <w:right w:val="none" w:sz="0" w:space="0" w:color="auto"/>
      </w:divBdr>
    </w:div>
    <w:div w:id="735054014">
      <w:bodyDiv w:val="1"/>
      <w:marLeft w:val="0"/>
      <w:marRight w:val="0"/>
      <w:marTop w:val="0"/>
      <w:marBottom w:val="0"/>
      <w:divBdr>
        <w:top w:val="none" w:sz="0" w:space="0" w:color="auto"/>
        <w:left w:val="none" w:sz="0" w:space="0" w:color="auto"/>
        <w:bottom w:val="none" w:sz="0" w:space="0" w:color="auto"/>
        <w:right w:val="none" w:sz="0" w:space="0" w:color="auto"/>
      </w:divBdr>
    </w:div>
    <w:div w:id="760443876">
      <w:bodyDiv w:val="1"/>
      <w:marLeft w:val="0"/>
      <w:marRight w:val="0"/>
      <w:marTop w:val="0"/>
      <w:marBottom w:val="0"/>
      <w:divBdr>
        <w:top w:val="none" w:sz="0" w:space="0" w:color="auto"/>
        <w:left w:val="none" w:sz="0" w:space="0" w:color="auto"/>
        <w:bottom w:val="none" w:sz="0" w:space="0" w:color="auto"/>
        <w:right w:val="none" w:sz="0" w:space="0" w:color="auto"/>
      </w:divBdr>
    </w:div>
    <w:div w:id="843016564">
      <w:bodyDiv w:val="1"/>
      <w:marLeft w:val="0"/>
      <w:marRight w:val="0"/>
      <w:marTop w:val="0"/>
      <w:marBottom w:val="0"/>
      <w:divBdr>
        <w:top w:val="none" w:sz="0" w:space="0" w:color="auto"/>
        <w:left w:val="none" w:sz="0" w:space="0" w:color="auto"/>
        <w:bottom w:val="none" w:sz="0" w:space="0" w:color="auto"/>
        <w:right w:val="none" w:sz="0" w:space="0" w:color="auto"/>
      </w:divBdr>
    </w:div>
    <w:div w:id="921987296">
      <w:bodyDiv w:val="1"/>
      <w:marLeft w:val="0"/>
      <w:marRight w:val="0"/>
      <w:marTop w:val="0"/>
      <w:marBottom w:val="0"/>
      <w:divBdr>
        <w:top w:val="none" w:sz="0" w:space="0" w:color="auto"/>
        <w:left w:val="none" w:sz="0" w:space="0" w:color="auto"/>
        <w:bottom w:val="none" w:sz="0" w:space="0" w:color="auto"/>
        <w:right w:val="none" w:sz="0" w:space="0" w:color="auto"/>
      </w:divBdr>
    </w:div>
    <w:div w:id="984698907">
      <w:bodyDiv w:val="1"/>
      <w:marLeft w:val="0"/>
      <w:marRight w:val="0"/>
      <w:marTop w:val="0"/>
      <w:marBottom w:val="0"/>
      <w:divBdr>
        <w:top w:val="none" w:sz="0" w:space="0" w:color="auto"/>
        <w:left w:val="none" w:sz="0" w:space="0" w:color="auto"/>
        <w:bottom w:val="none" w:sz="0" w:space="0" w:color="auto"/>
        <w:right w:val="none" w:sz="0" w:space="0" w:color="auto"/>
      </w:divBdr>
      <w:divsChild>
        <w:div w:id="1672562245">
          <w:marLeft w:val="0"/>
          <w:marRight w:val="0"/>
          <w:marTop w:val="0"/>
          <w:marBottom w:val="0"/>
          <w:divBdr>
            <w:top w:val="none" w:sz="0" w:space="0" w:color="auto"/>
            <w:left w:val="none" w:sz="0" w:space="0" w:color="auto"/>
            <w:bottom w:val="none" w:sz="0" w:space="0" w:color="auto"/>
            <w:right w:val="none" w:sz="0" w:space="0" w:color="auto"/>
          </w:divBdr>
        </w:div>
        <w:div w:id="654182088">
          <w:marLeft w:val="0"/>
          <w:marRight w:val="0"/>
          <w:marTop w:val="0"/>
          <w:marBottom w:val="0"/>
          <w:divBdr>
            <w:top w:val="none" w:sz="0" w:space="0" w:color="auto"/>
            <w:left w:val="none" w:sz="0" w:space="0" w:color="auto"/>
            <w:bottom w:val="none" w:sz="0" w:space="0" w:color="auto"/>
            <w:right w:val="none" w:sz="0" w:space="0" w:color="auto"/>
          </w:divBdr>
          <w:divsChild>
            <w:div w:id="433288050">
              <w:marLeft w:val="0"/>
              <w:marRight w:val="165"/>
              <w:marTop w:val="150"/>
              <w:marBottom w:val="0"/>
              <w:divBdr>
                <w:top w:val="none" w:sz="0" w:space="0" w:color="auto"/>
                <w:left w:val="none" w:sz="0" w:space="0" w:color="auto"/>
                <w:bottom w:val="none" w:sz="0" w:space="0" w:color="auto"/>
                <w:right w:val="none" w:sz="0" w:space="0" w:color="auto"/>
              </w:divBdr>
              <w:divsChild>
                <w:div w:id="2061898143">
                  <w:marLeft w:val="0"/>
                  <w:marRight w:val="0"/>
                  <w:marTop w:val="0"/>
                  <w:marBottom w:val="0"/>
                  <w:divBdr>
                    <w:top w:val="none" w:sz="0" w:space="0" w:color="auto"/>
                    <w:left w:val="none" w:sz="0" w:space="0" w:color="auto"/>
                    <w:bottom w:val="none" w:sz="0" w:space="0" w:color="auto"/>
                    <w:right w:val="none" w:sz="0" w:space="0" w:color="auto"/>
                  </w:divBdr>
                  <w:divsChild>
                    <w:div w:id="18684444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091520">
      <w:bodyDiv w:val="1"/>
      <w:marLeft w:val="0"/>
      <w:marRight w:val="0"/>
      <w:marTop w:val="0"/>
      <w:marBottom w:val="0"/>
      <w:divBdr>
        <w:top w:val="none" w:sz="0" w:space="0" w:color="auto"/>
        <w:left w:val="none" w:sz="0" w:space="0" w:color="auto"/>
        <w:bottom w:val="none" w:sz="0" w:space="0" w:color="auto"/>
        <w:right w:val="none" w:sz="0" w:space="0" w:color="auto"/>
      </w:divBdr>
    </w:div>
    <w:div w:id="1096286700">
      <w:bodyDiv w:val="1"/>
      <w:marLeft w:val="0"/>
      <w:marRight w:val="0"/>
      <w:marTop w:val="0"/>
      <w:marBottom w:val="0"/>
      <w:divBdr>
        <w:top w:val="none" w:sz="0" w:space="0" w:color="auto"/>
        <w:left w:val="none" w:sz="0" w:space="0" w:color="auto"/>
        <w:bottom w:val="none" w:sz="0" w:space="0" w:color="auto"/>
        <w:right w:val="none" w:sz="0" w:space="0" w:color="auto"/>
      </w:divBdr>
    </w:div>
    <w:div w:id="1143892443">
      <w:bodyDiv w:val="1"/>
      <w:marLeft w:val="0"/>
      <w:marRight w:val="0"/>
      <w:marTop w:val="0"/>
      <w:marBottom w:val="0"/>
      <w:divBdr>
        <w:top w:val="none" w:sz="0" w:space="0" w:color="auto"/>
        <w:left w:val="none" w:sz="0" w:space="0" w:color="auto"/>
        <w:bottom w:val="none" w:sz="0" w:space="0" w:color="auto"/>
        <w:right w:val="none" w:sz="0" w:space="0" w:color="auto"/>
      </w:divBdr>
      <w:divsChild>
        <w:div w:id="298002807">
          <w:marLeft w:val="0"/>
          <w:marRight w:val="0"/>
          <w:marTop w:val="0"/>
          <w:marBottom w:val="0"/>
          <w:divBdr>
            <w:top w:val="none" w:sz="0" w:space="0" w:color="auto"/>
            <w:left w:val="none" w:sz="0" w:space="0" w:color="auto"/>
            <w:bottom w:val="none" w:sz="0" w:space="0" w:color="auto"/>
            <w:right w:val="none" w:sz="0" w:space="0" w:color="auto"/>
          </w:divBdr>
        </w:div>
        <w:div w:id="421151070">
          <w:marLeft w:val="0"/>
          <w:marRight w:val="0"/>
          <w:marTop w:val="0"/>
          <w:marBottom w:val="0"/>
          <w:divBdr>
            <w:top w:val="none" w:sz="0" w:space="0" w:color="auto"/>
            <w:left w:val="none" w:sz="0" w:space="0" w:color="auto"/>
            <w:bottom w:val="none" w:sz="0" w:space="0" w:color="auto"/>
            <w:right w:val="none" w:sz="0" w:space="0" w:color="auto"/>
          </w:divBdr>
          <w:divsChild>
            <w:div w:id="1074662300">
              <w:marLeft w:val="0"/>
              <w:marRight w:val="165"/>
              <w:marTop w:val="150"/>
              <w:marBottom w:val="0"/>
              <w:divBdr>
                <w:top w:val="none" w:sz="0" w:space="0" w:color="auto"/>
                <w:left w:val="none" w:sz="0" w:space="0" w:color="auto"/>
                <w:bottom w:val="none" w:sz="0" w:space="0" w:color="auto"/>
                <w:right w:val="none" w:sz="0" w:space="0" w:color="auto"/>
              </w:divBdr>
              <w:divsChild>
                <w:div w:id="1658419914">
                  <w:marLeft w:val="0"/>
                  <w:marRight w:val="0"/>
                  <w:marTop w:val="0"/>
                  <w:marBottom w:val="0"/>
                  <w:divBdr>
                    <w:top w:val="none" w:sz="0" w:space="0" w:color="auto"/>
                    <w:left w:val="none" w:sz="0" w:space="0" w:color="auto"/>
                    <w:bottom w:val="none" w:sz="0" w:space="0" w:color="auto"/>
                    <w:right w:val="none" w:sz="0" w:space="0" w:color="auto"/>
                  </w:divBdr>
                  <w:divsChild>
                    <w:div w:id="13788938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275513">
      <w:bodyDiv w:val="1"/>
      <w:marLeft w:val="0"/>
      <w:marRight w:val="0"/>
      <w:marTop w:val="0"/>
      <w:marBottom w:val="0"/>
      <w:divBdr>
        <w:top w:val="none" w:sz="0" w:space="0" w:color="auto"/>
        <w:left w:val="none" w:sz="0" w:space="0" w:color="auto"/>
        <w:bottom w:val="none" w:sz="0" w:space="0" w:color="auto"/>
        <w:right w:val="none" w:sz="0" w:space="0" w:color="auto"/>
      </w:divBdr>
      <w:divsChild>
        <w:div w:id="383910962">
          <w:marLeft w:val="0"/>
          <w:marRight w:val="0"/>
          <w:marTop w:val="0"/>
          <w:marBottom w:val="0"/>
          <w:divBdr>
            <w:top w:val="none" w:sz="0" w:space="0" w:color="auto"/>
            <w:left w:val="none" w:sz="0" w:space="0" w:color="auto"/>
            <w:bottom w:val="none" w:sz="0" w:space="0" w:color="auto"/>
            <w:right w:val="none" w:sz="0" w:space="0" w:color="auto"/>
          </w:divBdr>
        </w:div>
        <w:div w:id="1134055695">
          <w:marLeft w:val="0"/>
          <w:marRight w:val="0"/>
          <w:marTop w:val="0"/>
          <w:marBottom w:val="0"/>
          <w:divBdr>
            <w:top w:val="none" w:sz="0" w:space="0" w:color="auto"/>
            <w:left w:val="none" w:sz="0" w:space="0" w:color="auto"/>
            <w:bottom w:val="none" w:sz="0" w:space="0" w:color="auto"/>
            <w:right w:val="none" w:sz="0" w:space="0" w:color="auto"/>
          </w:divBdr>
          <w:divsChild>
            <w:div w:id="1983532817">
              <w:marLeft w:val="0"/>
              <w:marRight w:val="165"/>
              <w:marTop w:val="150"/>
              <w:marBottom w:val="0"/>
              <w:divBdr>
                <w:top w:val="none" w:sz="0" w:space="0" w:color="auto"/>
                <w:left w:val="none" w:sz="0" w:space="0" w:color="auto"/>
                <w:bottom w:val="none" w:sz="0" w:space="0" w:color="auto"/>
                <w:right w:val="none" w:sz="0" w:space="0" w:color="auto"/>
              </w:divBdr>
              <w:divsChild>
                <w:div w:id="1290013046">
                  <w:marLeft w:val="0"/>
                  <w:marRight w:val="0"/>
                  <w:marTop w:val="0"/>
                  <w:marBottom w:val="0"/>
                  <w:divBdr>
                    <w:top w:val="none" w:sz="0" w:space="0" w:color="auto"/>
                    <w:left w:val="none" w:sz="0" w:space="0" w:color="auto"/>
                    <w:bottom w:val="none" w:sz="0" w:space="0" w:color="auto"/>
                    <w:right w:val="none" w:sz="0" w:space="0" w:color="auto"/>
                  </w:divBdr>
                  <w:divsChild>
                    <w:div w:id="126133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1763">
      <w:bodyDiv w:val="1"/>
      <w:marLeft w:val="0"/>
      <w:marRight w:val="0"/>
      <w:marTop w:val="0"/>
      <w:marBottom w:val="0"/>
      <w:divBdr>
        <w:top w:val="none" w:sz="0" w:space="0" w:color="auto"/>
        <w:left w:val="none" w:sz="0" w:space="0" w:color="auto"/>
        <w:bottom w:val="none" w:sz="0" w:space="0" w:color="auto"/>
        <w:right w:val="none" w:sz="0" w:space="0" w:color="auto"/>
      </w:divBdr>
      <w:divsChild>
        <w:div w:id="673849273">
          <w:marLeft w:val="0"/>
          <w:marRight w:val="0"/>
          <w:marTop w:val="0"/>
          <w:marBottom w:val="0"/>
          <w:divBdr>
            <w:top w:val="none" w:sz="0" w:space="0" w:color="auto"/>
            <w:left w:val="none" w:sz="0" w:space="0" w:color="auto"/>
            <w:bottom w:val="none" w:sz="0" w:space="0" w:color="auto"/>
            <w:right w:val="none" w:sz="0" w:space="0" w:color="auto"/>
          </w:divBdr>
        </w:div>
        <w:div w:id="1835292076">
          <w:marLeft w:val="0"/>
          <w:marRight w:val="0"/>
          <w:marTop w:val="0"/>
          <w:marBottom w:val="0"/>
          <w:divBdr>
            <w:top w:val="none" w:sz="0" w:space="0" w:color="auto"/>
            <w:left w:val="none" w:sz="0" w:space="0" w:color="auto"/>
            <w:bottom w:val="none" w:sz="0" w:space="0" w:color="auto"/>
            <w:right w:val="none" w:sz="0" w:space="0" w:color="auto"/>
          </w:divBdr>
          <w:divsChild>
            <w:div w:id="431361530">
              <w:marLeft w:val="0"/>
              <w:marRight w:val="165"/>
              <w:marTop w:val="150"/>
              <w:marBottom w:val="0"/>
              <w:divBdr>
                <w:top w:val="none" w:sz="0" w:space="0" w:color="auto"/>
                <w:left w:val="none" w:sz="0" w:space="0" w:color="auto"/>
                <w:bottom w:val="none" w:sz="0" w:space="0" w:color="auto"/>
                <w:right w:val="none" w:sz="0" w:space="0" w:color="auto"/>
              </w:divBdr>
              <w:divsChild>
                <w:div w:id="1723139557">
                  <w:marLeft w:val="0"/>
                  <w:marRight w:val="0"/>
                  <w:marTop w:val="0"/>
                  <w:marBottom w:val="0"/>
                  <w:divBdr>
                    <w:top w:val="none" w:sz="0" w:space="0" w:color="auto"/>
                    <w:left w:val="none" w:sz="0" w:space="0" w:color="auto"/>
                    <w:bottom w:val="none" w:sz="0" w:space="0" w:color="auto"/>
                    <w:right w:val="none" w:sz="0" w:space="0" w:color="auto"/>
                  </w:divBdr>
                  <w:divsChild>
                    <w:div w:id="25645065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64305">
      <w:bodyDiv w:val="1"/>
      <w:marLeft w:val="0"/>
      <w:marRight w:val="0"/>
      <w:marTop w:val="0"/>
      <w:marBottom w:val="0"/>
      <w:divBdr>
        <w:top w:val="none" w:sz="0" w:space="0" w:color="auto"/>
        <w:left w:val="none" w:sz="0" w:space="0" w:color="auto"/>
        <w:bottom w:val="none" w:sz="0" w:space="0" w:color="auto"/>
        <w:right w:val="none" w:sz="0" w:space="0" w:color="auto"/>
      </w:divBdr>
    </w:div>
    <w:div w:id="1324427156">
      <w:bodyDiv w:val="1"/>
      <w:marLeft w:val="0"/>
      <w:marRight w:val="0"/>
      <w:marTop w:val="0"/>
      <w:marBottom w:val="0"/>
      <w:divBdr>
        <w:top w:val="none" w:sz="0" w:space="0" w:color="auto"/>
        <w:left w:val="none" w:sz="0" w:space="0" w:color="auto"/>
        <w:bottom w:val="none" w:sz="0" w:space="0" w:color="auto"/>
        <w:right w:val="none" w:sz="0" w:space="0" w:color="auto"/>
      </w:divBdr>
    </w:div>
    <w:div w:id="1358309713">
      <w:bodyDiv w:val="1"/>
      <w:marLeft w:val="0"/>
      <w:marRight w:val="0"/>
      <w:marTop w:val="0"/>
      <w:marBottom w:val="0"/>
      <w:divBdr>
        <w:top w:val="none" w:sz="0" w:space="0" w:color="auto"/>
        <w:left w:val="none" w:sz="0" w:space="0" w:color="auto"/>
        <w:bottom w:val="none" w:sz="0" w:space="0" w:color="auto"/>
        <w:right w:val="none" w:sz="0" w:space="0" w:color="auto"/>
      </w:divBdr>
    </w:div>
    <w:div w:id="1475219148">
      <w:bodyDiv w:val="1"/>
      <w:marLeft w:val="0"/>
      <w:marRight w:val="0"/>
      <w:marTop w:val="0"/>
      <w:marBottom w:val="0"/>
      <w:divBdr>
        <w:top w:val="none" w:sz="0" w:space="0" w:color="auto"/>
        <w:left w:val="none" w:sz="0" w:space="0" w:color="auto"/>
        <w:bottom w:val="none" w:sz="0" w:space="0" w:color="auto"/>
        <w:right w:val="none" w:sz="0" w:space="0" w:color="auto"/>
      </w:divBdr>
    </w:div>
    <w:div w:id="1529640842">
      <w:bodyDiv w:val="1"/>
      <w:marLeft w:val="0"/>
      <w:marRight w:val="0"/>
      <w:marTop w:val="0"/>
      <w:marBottom w:val="0"/>
      <w:divBdr>
        <w:top w:val="none" w:sz="0" w:space="0" w:color="auto"/>
        <w:left w:val="none" w:sz="0" w:space="0" w:color="auto"/>
        <w:bottom w:val="none" w:sz="0" w:space="0" w:color="auto"/>
        <w:right w:val="none" w:sz="0" w:space="0" w:color="auto"/>
      </w:divBdr>
      <w:divsChild>
        <w:div w:id="926426452">
          <w:marLeft w:val="0"/>
          <w:marRight w:val="0"/>
          <w:marTop w:val="0"/>
          <w:marBottom w:val="0"/>
          <w:divBdr>
            <w:top w:val="none" w:sz="0" w:space="0" w:color="auto"/>
            <w:left w:val="none" w:sz="0" w:space="0" w:color="auto"/>
            <w:bottom w:val="none" w:sz="0" w:space="0" w:color="auto"/>
            <w:right w:val="none" w:sz="0" w:space="0" w:color="auto"/>
          </w:divBdr>
        </w:div>
        <w:div w:id="1084373072">
          <w:marLeft w:val="0"/>
          <w:marRight w:val="0"/>
          <w:marTop w:val="0"/>
          <w:marBottom w:val="0"/>
          <w:divBdr>
            <w:top w:val="none" w:sz="0" w:space="0" w:color="auto"/>
            <w:left w:val="none" w:sz="0" w:space="0" w:color="auto"/>
            <w:bottom w:val="none" w:sz="0" w:space="0" w:color="auto"/>
            <w:right w:val="none" w:sz="0" w:space="0" w:color="auto"/>
          </w:divBdr>
          <w:divsChild>
            <w:div w:id="316954808">
              <w:marLeft w:val="0"/>
              <w:marRight w:val="165"/>
              <w:marTop w:val="150"/>
              <w:marBottom w:val="0"/>
              <w:divBdr>
                <w:top w:val="none" w:sz="0" w:space="0" w:color="auto"/>
                <w:left w:val="none" w:sz="0" w:space="0" w:color="auto"/>
                <w:bottom w:val="none" w:sz="0" w:space="0" w:color="auto"/>
                <w:right w:val="none" w:sz="0" w:space="0" w:color="auto"/>
              </w:divBdr>
              <w:divsChild>
                <w:div w:id="353266052">
                  <w:marLeft w:val="0"/>
                  <w:marRight w:val="0"/>
                  <w:marTop w:val="0"/>
                  <w:marBottom w:val="0"/>
                  <w:divBdr>
                    <w:top w:val="none" w:sz="0" w:space="0" w:color="auto"/>
                    <w:left w:val="none" w:sz="0" w:space="0" w:color="auto"/>
                    <w:bottom w:val="none" w:sz="0" w:space="0" w:color="auto"/>
                    <w:right w:val="none" w:sz="0" w:space="0" w:color="auto"/>
                  </w:divBdr>
                  <w:divsChild>
                    <w:div w:id="6513000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382349">
      <w:bodyDiv w:val="1"/>
      <w:marLeft w:val="0"/>
      <w:marRight w:val="0"/>
      <w:marTop w:val="0"/>
      <w:marBottom w:val="0"/>
      <w:divBdr>
        <w:top w:val="none" w:sz="0" w:space="0" w:color="auto"/>
        <w:left w:val="none" w:sz="0" w:space="0" w:color="auto"/>
        <w:bottom w:val="none" w:sz="0" w:space="0" w:color="auto"/>
        <w:right w:val="none" w:sz="0" w:space="0" w:color="auto"/>
      </w:divBdr>
    </w:div>
    <w:div w:id="1603604419">
      <w:bodyDiv w:val="1"/>
      <w:marLeft w:val="0"/>
      <w:marRight w:val="0"/>
      <w:marTop w:val="0"/>
      <w:marBottom w:val="0"/>
      <w:divBdr>
        <w:top w:val="none" w:sz="0" w:space="0" w:color="auto"/>
        <w:left w:val="none" w:sz="0" w:space="0" w:color="auto"/>
        <w:bottom w:val="none" w:sz="0" w:space="0" w:color="auto"/>
        <w:right w:val="none" w:sz="0" w:space="0" w:color="auto"/>
      </w:divBdr>
      <w:divsChild>
        <w:div w:id="675618966">
          <w:marLeft w:val="0"/>
          <w:marRight w:val="0"/>
          <w:marTop w:val="0"/>
          <w:marBottom w:val="0"/>
          <w:divBdr>
            <w:top w:val="none" w:sz="0" w:space="0" w:color="auto"/>
            <w:left w:val="none" w:sz="0" w:space="0" w:color="auto"/>
            <w:bottom w:val="none" w:sz="0" w:space="0" w:color="auto"/>
            <w:right w:val="none" w:sz="0" w:space="0" w:color="auto"/>
          </w:divBdr>
        </w:div>
        <w:div w:id="44791702">
          <w:marLeft w:val="0"/>
          <w:marRight w:val="0"/>
          <w:marTop w:val="0"/>
          <w:marBottom w:val="0"/>
          <w:divBdr>
            <w:top w:val="none" w:sz="0" w:space="0" w:color="auto"/>
            <w:left w:val="none" w:sz="0" w:space="0" w:color="auto"/>
            <w:bottom w:val="none" w:sz="0" w:space="0" w:color="auto"/>
            <w:right w:val="none" w:sz="0" w:space="0" w:color="auto"/>
          </w:divBdr>
          <w:divsChild>
            <w:div w:id="1031759946">
              <w:marLeft w:val="0"/>
              <w:marRight w:val="165"/>
              <w:marTop w:val="150"/>
              <w:marBottom w:val="0"/>
              <w:divBdr>
                <w:top w:val="none" w:sz="0" w:space="0" w:color="auto"/>
                <w:left w:val="none" w:sz="0" w:space="0" w:color="auto"/>
                <w:bottom w:val="none" w:sz="0" w:space="0" w:color="auto"/>
                <w:right w:val="none" w:sz="0" w:space="0" w:color="auto"/>
              </w:divBdr>
              <w:divsChild>
                <w:div w:id="533425988">
                  <w:marLeft w:val="0"/>
                  <w:marRight w:val="0"/>
                  <w:marTop w:val="0"/>
                  <w:marBottom w:val="0"/>
                  <w:divBdr>
                    <w:top w:val="none" w:sz="0" w:space="0" w:color="auto"/>
                    <w:left w:val="none" w:sz="0" w:space="0" w:color="auto"/>
                    <w:bottom w:val="none" w:sz="0" w:space="0" w:color="auto"/>
                    <w:right w:val="none" w:sz="0" w:space="0" w:color="auto"/>
                  </w:divBdr>
                  <w:divsChild>
                    <w:div w:id="64292555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11880">
      <w:bodyDiv w:val="1"/>
      <w:marLeft w:val="0"/>
      <w:marRight w:val="0"/>
      <w:marTop w:val="0"/>
      <w:marBottom w:val="0"/>
      <w:divBdr>
        <w:top w:val="none" w:sz="0" w:space="0" w:color="auto"/>
        <w:left w:val="none" w:sz="0" w:space="0" w:color="auto"/>
        <w:bottom w:val="none" w:sz="0" w:space="0" w:color="auto"/>
        <w:right w:val="none" w:sz="0" w:space="0" w:color="auto"/>
      </w:divBdr>
    </w:div>
    <w:div w:id="1661420915">
      <w:bodyDiv w:val="1"/>
      <w:marLeft w:val="0"/>
      <w:marRight w:val="0"/>
      <w:marTop w:val="0"/>
      <w:marBottom w:val="0"/>
      <w:divBdr>
        <w:top w:val="none" w:sz="0" w:space="0" w:color="auto"/>
        <w:left w:val="none" w:sz="0" w:space="0" w:color="auto"/>
        <w:bottom w:val="none" w:sz="0" w:space="0" w:color="auto"/>
        <w:right w:val="none" w:sz="0" w:space="0" w:color="auto"/>
      </w:divBdr>
      <w:divsChild>
        <w:div w:id="630088139">
          <w:marLeft w:val="0"/>
          <w:marRight w:val="0"/>
          <w:marTop w:val="0"/>
          <w:marBottom w:val="0"/>
          <w:divBdr>
            <w:top w:val="none" w:sz="0" w:space="0" w:color="auto"/>
            <w:left w:val="none" w:sz="0" w:space="0" w:color="auto"/>
            <w:bottom w:val="none" w:sz="0" w:space="0" w:color="auto"/>
            <w:right w:val="none" w:sz="0" w:space="0" w:color="auto"/>
          </w:divBdr>
        </w:div>
        <w:div w:id="919407930">
          <w:marLeft w:val="0"/>
          <w:marRight w:val="0"/>
          <w:marTop w:val="0"/>
          <w:marBottom w:val="0"/>
          <w:divBdr>
            <w:top w:val="none" w:sz="0" w:space="0" w:color="auto"/>
            <w:left w:val="none" w:sz="0" w:space="0" w:color="auto"/>
            <w:bottom w:val="none" w:sz="0" w:space="0" w:color="auto"/>
            <w:right w:val="none" w:sz="0" w:space="0" w:color="auto"/>
          </w:divBdr>
          <w:divsChild>
            <w:div w:id="469984833">
              <w:marLeft w:val="0"/>
              <w:marRight w:val="165"/>
              <w:marTop w:val="150"/>
              <w:marBottom w:val="0"/>
              <w:divBdr>
                <w:top w:val="none" w:sz="0" w:space="0" w:color="auto"/>
                <w:left w:val="none" w:sz="0" w:space="0" w:color="auto"/>
                <w:bottom w:val="none" w:sz="0" w:space="0" w:color="auto"/>
                <w:right w:val="none" w:sz="0" w:space="0" w:color="auto"/>
              </w:divBdr>
              <w:divsChild>
                <w:div w:id="1779107301">
                  <w:marLeft w:val="0"/>
                  <w:marRight w:val="0"/>
                  <w:marTop w:val="0"/>
                  <w:marBottom w:val="0"/>
                  <w:divBdr>
                    <w:top w:val="none" w:sz="0" w:space="0" w:color="auto"/>
                    <w:left w:val="none" w:sz="0" w:space="0" w:color="auto"/>
                    <w:bottom w:val="none" w:sz="0" w:space="0" w:color="auto"/>
                    <w:right w:val="none" w:sz="0" w:space="0" w:color="auto"/>
                  </w:divBdr>
                  <w:divsChild>
                    <w:div w:id="11865582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007948">
      <w:bodyDiv w:val="1"/>
      <w:marLeft w:val="0"/>
      <w:marRight w:val="0"/>
      <w:marTop w:val="0"/>
      <w:marBottom w:val="0"/>
      <w:divBdr>
        <w:top w:val="none" w:sz="0" w:space="0" w:color="auto"/>
        <w:left w:val="none" w:sz="0" w:space="0" w:color="auto"/>
        <w:bottom w:val="none" w:sz="0" w:space="0" w:color="auto"/>
        <w:right w:val="none" w:sz="0" w:space="0" w:color="auto"/>
      </w:divBdr>
    </w:div>
    <w:div w:id="1953897698">
      <w:bodyDiv w:val="1"/>
      <w:marLeft w:val="0"/>
      <w:marRight w:val="0"/>
      <w:marTop w:val="0"/>
      <w:marBottom w:val="0"/>
      <w:divBdr>
        <w:top w:val="none" w:sz="0" w:space="0" w:color="auto"/>
        <w:left w:val="none" w:sz="0" w:space="0" w:color="auto"/>
        <w:bottom w:val="none" w:sz="0" w:space="0" w:color="auto"/>
        <w:right w:val="none" w:sz="0" w:space="0" w:color="auto"/>
      </w:divBdr>
    </w:div>
    <w:div w:id="1958097485">
      <w:bodyDiv w:val="1"/>
      <w:marLeft w:val="0"/>
      <w:marRight w:val="0"/>
      <w:marTop w:val="0"/>
      <w:marBottom w:val="0"/>
      <w:divBdr>
        <w:top w:val="none" w:sz="0" w:space="0" w:color="auto"/>
        <w:left w:val="none" w:sz="0" w:space="0" w:color="auto"/>
        <w:bottom w:val="none" w:sz="0" w:space="0" w:color="auto"/>
        <w:right w:val="none" w:sz="0" w:space="0" w:color="auto"/>
      </w:divBdr>
    </w:div>
    <w:div w:id="1965116864">
      <w:bodyDiv w:val="1"/>
      <w:marLeft w:val="0"/>
      <w:marRight w:val="0"/>
      <w:marTop w:val="0"/>
      <w:marBottom w:val="0"/>
      <w:divBdr>
        <w:top w:val="none" w:sz="0" w:space="0" w:color="auto"/>
        <w:left w:val="none" w:sz="0" w:space="0" w:color="auto"/>
        <w:bottom w:val="none" w:sz="0" w:space="0" w:color="auto"/>
        <w:right w:val="none" w:sz="0" w:space="0" w:color="auto"/>
      </w:divBdr>
    </w:div>
    <w:div w:id="2031713514">
      <w:bodyDiv w:val="1"/>
      <w:marLeft w:val="0"/>
      <w:marRight w:val="0"/>
      <w:marTop w:val="0"/>
      <w:marBottom w:val="0"/>
      <w:divBdr>
        <w:top w:val="none" w:sz="0" w:space="0" w:color="auto"/>
        <w:left w:val="none" w:sz="0" w:space="0" w:color="auto"/>
        <w:bottom w:val="none" w:sz="0" w:space="0" w:color="auto"/>
        <w:right w:val="none" w:sz="0" w:space="0" w:color="auto"/>
      </w:divBdr>
    </w:div>
    <w:div w:id="2046128572">
      <w:bodyDiv w:val="1"/>
      <w:marLeft w:val="0"/>
      <w:marRight w:val="0"/>
      <w:marTop w:val="0"/>
      <w:marBottom w:val="0"/>
      <w:divBdr>
        <w:top w:val="none" w:sz="0" w:space="0" w:color="auto"/>
        <w:left w:val="none" w:sz="0" w:space="0" w:color="auto"/>
        <w:bottom w:val="none" w:sz="0" w:space="0" w:color="auto"/>
        <w:right w:val="none" w:sz="0" w:space="0" w:color="auto"/>
      </w:divBdr>
    </w:div>
    <w:div w:id="210949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8AF35-45BE-4A6B-BD45-C8A8E329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26</Pages>
  <Words>7119</Words>
  <Characters>40581</Characters>
  <Application>Microsoft Office Word</Application>
  <DocSecurity>0</DocSecurity>
  <Lines>338</Lines>
  <Paragraphs>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Lopez</dc:creator>
  <cp:keywords/>
  <dc:description/>
  <cp:lastModifiedBy>kevin valdebenito</cp:lastModifiedBy>
  <cp:revision>22</cp:revision>
  <cp:lastPrinted>2022-05-09T01:30:00Z</cp:lastPrinted>
  <dcterms:created xsi:type="dcterms:W3CDTF">2022-05-10T15:36:00Z</dcterms:created>
  <dcterms:modified xsi:type="dcterms:W3CDTF">2022-05-16T19:30:00Z</dcterms:modified>
</cp:coreProperties>
</file>